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78133" w14:textId="4DF35235" w:rsidR="00D53742" w:rsidRPr="00B266B0" w:rsidRDefault="00D53742" w:rsidP="00D5374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w:t>
      </w:r>
      <w:r w:rsidR="008924EC">
        <w:rPr>
          <w:bCs/>
          <w:noProof w:val="0"/>
          <w:sz w:val="24"/>
          <w:szCs w:val="24"/>
        </w:rPr>
        <w:t>4</w:t>
      </w:r>
      <w:r>
        <w:rPr>
          <w:bCs/>
          <w:noProof w:val="0"/>
          <w:sz w:val="24"/>
          <w:szCs w:val="24"/>
        </w:rPr>
        <w:t xml:space="preserve"> Electronic</w:t>
      </w:r>
      <w:r w:rsidRPr="00B266B0">
        <w:rPr>
          <w:bCs/>
          <w:noProof w:val="0"/>
          <w:sz w:val="24"/>
          <w:szCs w:val="24"/>
        </w:rPr>
        <w:tab/>
      </w:r>
      <w:r w:rsidR="002B7DA3" w:rsidRPr="002B7DA3">
        <w:rPr>
          <w:bCs/>
          <w:noProof w:val="0"/>
          <w:sz w:val="24"/>
          <w:szCs w:val="24"/>
        </w:rPr>
        <w:t>R2-2105911</w:t>
      </w:r>
    </w:p>
    <w:p w14:paraId="11776FA6" w14:textId="063946F5" w:rsidR="00A209D6" w:rsidRPr="00465587" w:rsidRDefault="00D53742" w:rsidP="00D53742">
      <w:pPr>
        <w:pStyle w:val="Header"/>
        <w:tabs>
          <w:tab w:val="right" w:pos="9639"/>
        </w:tabs>
        <w:rPr>
          <w:rFonts w:eastAsia="SimSun"/>
          <w:bCs/>
          <w:sz w:val="24"/>
          <w:szCs w:val="24"/>
          <w:lang w:eastAsia="zh-CN"/>
        </w:rPr>
      </w:pPr>
      <w:r w:rsidRPr="00F336E3">
        <w:rPr>
          <w:rFonts w:eastAsia="SimSun"/>
          <w:bCs/>
          <w:sz w:val="24"/>
          <w:szCs w:val="24"/>
          <w:lang w:eastAsia="zh-CN"/>
        </w:rPr>
        <w:t xml:space="preserve">Online, </w:t>
      </w:r>
      <w:r w:rsidR="00716E0E">
        <w:rPr>
          <w:rFonts w:eastAsia="SimSun"/>
          <w:bCs/>
          <w:sz w:val="24"/>
          <w:szCs w:val="24"/>
          <w:lang w:eastAsia="zh-CN"/>
        </w:rPr>
        <w:t>May</w:t>
      </w:r>
      <w:r w:rsidRPr="00F336E3">
        <w:rPr>
          <w:rFonts w:eastAsia="SimSun"/>
          <w:bCs/>
          <w:sz w:val="24"/>
          <w:szCs w:val="24"/>
          <w:lang w:eastAsia="zh-CN"/>
        </w:rPr>
        <w:t xml:space="preserve"> </w:t>
      </w:r>
      <w:r w:rsidR="00716E0E">
        <w:rPr>
          <w:rFonts w:eastAsia="SimSun"/>
          <w:bCs/>
          <w:sz w:val="24"/>
          <w:szCs w:val="24"/>
          <w:lang w:eastAsia="zh-CN"/>
        </w:rPr>
        <w:t>19</w:t>
      </w:r>
      <w:r w:rsidRPr="00F336E3">
        <w:rPr>
          <w:rFonts w:eastAsia="SimSun"/>
          <w:bCs/>
          <w:sz w:val="24"/>
          <w:szCs w:val="24"/>
          <w:lang w:eastAsia="zh-CN"/>
        </w:rPr>
        <w:t xml:space="preserve"> – </w:t>
      </w:r>
      <w:r w:rsidR="00716E0E">
        <w:rPr>
          <w:rFonts w:eastAsia="SimSun"/>
          <w:bCs/>
          <w:sz w:val="24"/>
          <w:szCs w:val="24"/>
          <w:lang w:eastAsia="zh-CN"/>
        </w:rPr>
        <w:t>May</w:t>
      </w:r>
      <w:r w:rsidRPr="00F336E3">
        <w:rPr>
          <w:rFonts w:eastAsia="SimSun"/>
          <w:bCs/>
          <w:sz w:val="24"/>
          <w:szCs w:val="24"/>
          <w:lang w:eastAsia="zh-CN"/>
        </w:rPr>
        <w:t xml:space="preserve"> 2</w:t>
      </w:r>
      <w:r w:rsidR="00716E0E">
        <w:rPr>
          <w:rFonts w:eastAsia="SimSun"/>
          <w:bCs/>
          <w:sz w:val="24"/>
          <w:szCs w:val="24"/>
          <w:lang w:eastAsia="zh-CN"/>
        </w:rPr>
        <w:t>7</w:t>
      </w:r>
      <w:r w:rsidRPr="00F336E3">
        <w:rPr>
          <w:rFonts w:eastAsia="SimSun"/>
          <w:bCs/>
          <w:sz w:val="24"/>
          <w:szCs w:val="24"/>
          <w:lang w:eastAsia="zh-CN"/>
        </w:rPr>
        <w:t>, 2021</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C1B1B3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525A9">
        <w:rPr>
          <w:rFonts w:cs="Arial"/>
          <w:b/>
          <w:bCs/>
          <w:sz w:val="24"/>
        </w:rPr>
        <w:t>8</w:t>
      </w:r>
      <w:r>
        <w:rPr>
          <w:rFonts w:cs="Arial"/>
          <w:b/>
          <w:bCs/>
          <w:sz w:val="24"/>
          <w:lang w:eastAsia="ja-JP"/>
        </w:rPr>
        <w:t>.</w:t>
      </w:r>
      <w:r w:rsidR="006525A9">
        <w:rPr>
          <w:rFonts w:cs="Arial"/>
          <w:b/>
          <w:bCs/>
          <w:sz w:val="24"/>
          <w:lang w:eastAsia="ja-JP"/>
        </w:rPr>
        <w:t>6</w:t>
      </w:r>
      <w:r>
        <w:rPr>
          <w:rFonts w:cs="Arial"/>
          <w:b/>
          <w:bCs/>
          <w:sz w:val="24"/>
          <w:lang w:eastAsia="ja-JP"/>
        </w:rPr>
        <w:t>.</w:t>
      </w:r>
      <w:r w:rsidR="00A57736">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2407B7F6" w14:textId="77777777" w:rsidR="003A300B"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7146C">
        <w:rPr>
          <w:rFonts w:ascii="Arial" w:hAnsi="Arial" w:cs="Arial"/>
          <w:b/>
          <w:bCs/>
          <w:sz w:val="24"/>
        </w:rPr>
        <w:t>SDT control plane</w:t>
      </w:r>
      <w:r w:rsidR="008D6559">
        <w:rPr>
          <w:rFonts w:ascii="Arial" w:hAnsi="Arial" w:cs="Arial"/>
          <w:b/>
          <w:bCs/>
          <w:sz w:val="24"/>
        </w:rPr>
        <w:t xml:space="preserve"> aspects</w:t>
      </w:r>
      <w:r w:rsidR="00020E36">
        <w:rPr>
          <w:rFonts w:ascii="Arial" w:hAnsi="Arial" w:cs="Arial"/>
          <w:b/>
          <w:bCs/>
          <w:sz w:val="24"/>
        </w:rPr>
        <w:t xml:space="preserve"> </w:t>
      </w:r>
    </w:p>
    <w:p w14:paraId="1F147C23" w14:textId="3C4AFE3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51AE1" w:rsidRPr="00451AE1">
        <w:rPr>
          <w:rFonts w:ascii="Arial" w:hAnsi="Arial" w:cs="Arial"/>
          <w:b/>
          <w:bCs/>
          <w:sz w:val="24"/>
        </w:rPr>
        <w:t>NR_SmallData_INACTIVE</w:t>
      </w:r>
      <w:r w:rsidR="00451AE1">
        <w:rPr>
          <w:rFonts w:ascii="Arial" w:hAnsi="Arial" w:cs="Arial"/>
          <w:b/>
          <w:bCs/>
          <w:sz w:val="24"/>
        </w:rPr>
        <w:t xml:space="preserve"> </w:t>
      </w:r>
      <w:r>
        <w:rPr>
          <w:rFonts w:ascii="Arial" w:hAnsi="Arial" w:cs="Arial"/>
          <w:b/>
          <w:bCs/>
          <w:sz w:val="24"/>
        </w:rPr>
        <w:t xml:space="preserve">- Release </w:t>
      </w:r>
      <w:r w:rsidR="00EF1541">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A177B45" w14:textId="62B9662A" w:rsidR="0003154B" w:rsidRPr="0003154B" w:rsidRDefault="006525A9" w:rsidP="0003154B">
      <w:r>
        <w:rPr>
          <w:lang w:val="en-US"/>
        </w:rPr>
        <w:t>T</w:t>
      </w:r>
      <w:r w:rsidR="0003154B" w:rsidRPr="0003154B">
        <w:rPr>
          <w:lang w:val="en-US"/>
        </w:rPr>
        <w:t xml:space="preserve">he WID of </w:t>
      </w:r>
      <w:r w:rsidR="0003154B" w:rsidRPr="0003154B">
        <w:t>NR small data transmissions in INACTIVE state</w:t>
      </w:r>
      <w:r w:rsidR="00860A59">
        <w:t xml:space="preserve"> [</w:t>
      </w:r>
      <w:hyperlink r:id="rId11" w:history="1">
        <w:r w:rsidR="00860A59" w:rsidRPr="00564852">
          <w:rPr>
            <w:rStyle w:val="Hyperlink"/>
          </w:rPr>
          <w:t>RP-193252</w:t>
        </w:r>
      </w:hyperlink>
      <w:r w:rsidR="00860A59">
        <w:t xml:space="preserve">] </w:t>
      </w:r>
      <w:r w:rsidR="0003154B">
        <w:rPr>
          <w:lang w:val="en-US"/>
        </w:rPr>
        <w:t>define</w:t>
      </w:r>
      <w:r>
        <w:rPr>
          <w:lang w:val="en-US"/>
        </w:rPr>
        <w:t xml:space="preserve">s </w:t>
      </w:r>
      <w:r w:rsidRPr="0003154B">
        <w:rPr>
          <w:lang w:val="en-US"/>
        </w:rPr>
        <w:t xml:space="preserve">the </w:t>
      </w:r>
      <w:r>
        <w:rPr>
          <w:lang w:val="en-US"/>
        </w:rPr>
        <w:t xml:space="preserve">following </w:t>
      </w:r>
      <w:r w:rsidRPr="0003154B">
        <w:rPr>
          <w:lang w:val="en-US"/>
        </w:rPr>
        <w:t>objectives</w:t>
      </w:r>
      <w:r>
        <w:rPr>
          <w:lang w:val="en-US"/>
        </w:rPr>
        <w:t>,</w:t>
      </w:r>
      <w:r w:rsidR="002D7ABD">
        <w:rPr>
          <w:lang w:val="en-US"/>
        </w:rPr>
        <w:t xml:space="preserve"> which target </w:t>
      </w:r>
      <w:r w:rsidR="002D7ABD" w:rsidRPr="002D7ABD">
        <w:rPr>
          <w:lang w:val="en-US"/>
        </w:rPr>
        <w:t>mechanisms enabl</w:t>
      </w:r>
      <w:r w:rsidR="002D7ABD">
        <w:rPr>
          <w:lang w:val="en-US"/>
        </w:rPr>
        <w:t>ing</w:t>
      </w:r>
      <w:r w:rsidR="002D7ABD" w:rsidRPr="002D7ABD">
        <w:rPr>
          <w:lang w:val="en-US"/>
        </w:rPr>
        <w:t xml:space="preserve"> </w:t>
      </w:r>
      <w:r w:rsidR="002D7ABD">
        <w:rPr>
          <w:lang w:val="en-US"/>
        </w:rPr>
        <w:t>UL</w:t>
      </w:r>
      <w:r w:rsidR="00860A59">
        <w:rPr>
          <w:lang w:val="en-US"/>
        </w:rPr>
        <w:t xml:space="preserve"> </w:t>
      </w:r>
      <w:r w:rsidR="002D7ABD" w:rsidRPr="002D7ABD">
        <w:rPr>
          <w:lang w:val="en-US"/>
        </w:rPr>
        <w:t>small data transmissions</w:t>
      </w:r>
      <w:r w:rsidR="00F4590C">
        <w:rPr>
          <w:lang w:val="en-US"/>
        </w:rPr>
        <w:t xml:space="preserve"> (SDT)</w:t>
      </w:r>
      <w:r w:rsidR="002D7ABD">
        <w:rPr>
          <w:lang w:val="en-US"/>
        </w:rPr>
        <w:t xml:space="preserve"> using either </w:t>
      </w:r>
      <w:r w:rsidR="002D7ABD" w:rsidRPr="00477E04">
        <w:t>RACH</w:t>
      </w:r>
      <w:r w:rsidR="00F4590C">
        <w:t xml:space="preserve"> procedures </w:t>
      </w:r>
      <w:r w:rsidR="002D7ABD">
        <w:t xml:space="preserve">or </w:t>
      </w:r>
      <w:r w:rsidR="002D7ABD" w:rsidRPr="002D7ABD">
        <w:rPr>
          <w:lang w:val="en-US"/>
        </w:rPr>
        <w:t>pre-configured PUSCH resources</w:t>
      </w:r>
      <w:r w:rsidR="00986628">
        <w:rPr>
          <w:lang w:val="en-US"/>
        </w:rPr>
        <w:t>.</w:t>
      </w:r>
    </w:p>
    <w:tbl>
      <w:tblPr>
        <w:tblStyle w:val="TableGrid"/>
        <w:tblW w:w="0" w:type="auto"/>
        <w:tblLook w:val="04A0" w:firstRow="1" w:lastRow="0" w:firstColumn="1" w:lastColumn="0" w:noHBand="0" w:noVBand="1"/>
      </w:tblPr>
      <w:tblGrid>
        <w:gridCol w:w="9631"/>
      </w:tblGrid>
      <w:tr w:rsidR="0003154B" w:rsidRPr="0003154B" w14:paraId="3EF68255" w14:textId="77777777" w:rsidTr="00D96D61">
        <w:tc>
          <w:tcPr>
            <w:tcW w:w="9631" w:type="dxa"/>
          </w:tcPr>
          <w:p w14:paraId="1FB9A395" w14:textId="77777777" w:rsidR="0003154B" w:rsidRPr="00F4590C" w:rsidRDefault="0003154B" w:rsidP="0003154B">
            <w:pPr>
              <w:rPr>
                <w:sz w:val="18"/>
                <w:szCs w:val="18"/>
                <w:lang w:eastAsia="zh-CN"/>
              </w:rPr>
            </w:pPr>
            <w:r w:rsidRPr="00F4590C">
              <w:rPr>
                <w:sz w:val="18"/>
                <w:szCs w:val="18"/>
                <w:lang w:eastAsia="zh-CN"/>
              </w:rPr>
              <w:t xml:space="preserve">This work item enables small data transmission in RRC_INACTIVE state as follows: </w:t>
            </w:r>
          </w:p>
          <w:p w14:paraId="2FC546A0" w14:textId="77777777" w:rsidR="0003154B" w:rsidRPr="00F4590C" w:rsidRDefault="0003154B" w:rsidP="0003154B">
            <w:pPr>
              <w:pStyle w:val="ListParagraph"/>
              <w:widowControl w:val="0"/>
              <w:numPr>
                <w:ilvl w:val="0"/>
                <w:numId w:val="10"/>
              </w:numPr>
              <w:autoSpaceDE/>
              <w:adjustRightInd/>
              <w:snapToGrid/>
              <w:spacing w:after="160" w:line="256" w:lineRule="auto"/>
              <w:ind w:firstLineChars="0"/>
              <w:rPr>
                <w:sz w:val="18"/>
                <w:szCs w:val="18"/>
                <w:lang w:eastAsia="en-US"/>
              </w:rPr>
            </w:pPr>
            <w:r w:rsidRPr="00F4590C">
              <w:rPr>
                <w:sz w:val="18"/>
                <w:szCs w:val="18"/>
              </w:rPr>
              <w:t>For the RRC_INACTIVE state:</w:t>
            </w:r>
          </w:p>
          <w:p w14:paraId="3E332425" w14:textId="77777777" w:rsidR="0003154B" w:rsidRPr="00F4590C" w:rsidRDefault="0003154B" w:rsidP="0003154B">
            <w:pPr>
              <w:pStyle w:val="ListParagraph"/>
              <w:widowControl w:val="0"/>
              <w:numPr>
                <w:ilvl w:val="1"/>
                <w:numId w:val="10"/>
              </w:numPr>
              <w:autoSpaceDE/>
              <w:adjustRightInd/>
              <w:snapToGrid/>
              <w:spacing w:after="160" w:line="256" w:lineRule="auto"/>
              <w:ind w:firstLineChars="0"/>
              <w:rPr>
                <w:sz w:val="18"/>
                <w:szCs w:val="18"/>
              </w:rPr>
            </w:pPr>
            <w:r w:rsidRPr="00F4590C">
              <w:rPr>
                <w:sz w:val="18"/>
                <w:szCs w:val="18"/>
              </w:rPr>
              <w:t>UL small data transmissions for RACH-based schemes (i.e. 2-step and 4-step RACH):</w:t>
            </w:r>
          </w:p>
          <w:p w14:paraId="4AFE65E0"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rPr>
            </w:pPr>
            <w:bookmarkStart w:id="0" w:name="_Hlk26863976"/>
            <w:r w:rsidRPr="00F4590C">
              <w:rPr>
                <w:sz w:val="18"/>
                <w:szCs w:val="18"/>
              </w:rPr>
              <w:t xml:space="preserve">General procedure to enable UP data transmission for small data packets from INACTIVE state (e.g. using MSGA or MSG3) </w:t>
            </w:r>
            <w:bookmarkEnd w:id="0"/>
            <w:r w:rsidRPr="00F4590C">
              <w:rPr>
                <w:sz w:val="18"/>
                <w:szCs w:val="18"/>
              </w:rPr>
              <w:t>[RAN2]</w:t>
            </w:r>
          </w:p>
          <w:p w14:paraId="1C971253"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rPr>
            </w:pPr>
            <w:r w:rsidRPr="00F4590C">
              <w:rPr>
                <w:sz w:val="18"/>
                <w:szCs w:val="18"/>
              </w:rPr>
              <w:t xml:space="preserve">Enable flexible payload sizes larger than the Rel-16 CCCH message size that is possible currently for INACTIVE state for MSGA and MSG3 to support UP data transmission in UL (actual payload size can be up to network configuration) [RAN2] </w:t>
            </w:r>
          </w:p>
          <w:p w14:paraId="6AA6CCB9"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rPr>
            </w:pPr>
            <w:r w:rsidRPr="00F4590C">
              <w:rPr>
                <w:sz w:val="18"/>
                <w:szCs w:val="18"/>
              </w:rPr>
              <w:t>Context fetch and data forwarding (with and without anchor relocation) in INACTIVE state for RACH-based solutions [RAN2, RAN3]</w:t>
            </w:r>
          </w:p>
          <w:p w14:paraId="1C08B57E" w14:textId="77777777" w:rsidR="0003154B" w:rsidRPr="00F4590C" w:rsidRDefault="0003154B" w:rsidP="0003154B">
            <w:pPr>
              <w:pStyle w:val="ListParagraph"/>
              <w:widowControl w:val="0"/>
              <w:autoSpaceDE/>
              <w:adjustRightInd/>
              <w:snapToGrid/>
              <w:spacing w:after="160" w:line="256" w:lineRule="auto"/>
              <w:ind w:left="1440" w:firstLineChars="0" w:firstLine="0"/>
              <w:rPr>
                <w:sz w:val="18"/>
                <w:szCs w:val="18"/>
              </w:rPr>
            </w:pPr>
            <w:r w:rsidRPr="00F4590C">
              <w:rPr>
                <w:sz w:val="18"/>
                <w:szCs w:val="18"/>
              </w:rPr>
              <w:t>Note 1: The security aspects of the above solutions should be checked with SA3</w:t>
            </w:r>
          </w:p>
          <w:p w14:paraId="152765EA" w14:textId="77777777" w:rsidR="0003154B" w:rsidRPr="00F4590C" w:rsidRDefault="0003154B" w:rsidP="0003154B">
            <w:pPr>
              <w:pStyle w:val="ListParagraph"/>
              <w:widowControl w:val="0"/>
              <w:numPr>
                <w:ilvl w:val="1"/>
                <w:numId w:val="10"/>
              </w:numPr>
              <w:autoSpaceDE/>
              <w:adjustRightInd/>
              <w:spacing w:after="160" w:line="256" w:lineRule="auto"/>
              <w:ind w:firstLineChars="0"/>
              <w:rPr>
                <w:sz w:val="18"/>
                <w:szCs w:val="18"/>
                <w:lang w:eastAsia="zh-CN"/>
              </w:rPr>
            </w:pPr>
            <w:r w:rsidRPr="00F4590C">
              <w:rPr>
                <w:sz w:val="18"/>
                <w:szCs w:val="18"/>
                <w:lang w:eastAsia="zh-CN"/>
              </w:rPr>
              <w:t>Transmission of UL data on pre-configured PUSCH resources (i.e. reusing the configured grant type 1) – when TA is valid</w:t>
            </w:r>
          </w:p>
          <w:p w14:paraId="237D6BE5" w14:textId="77777777" w:rsidR="0003154B" w:rsidRPr="00F4590C" w:rsidRDefault="0003154B" w:rsidP="0003154B">
            <w:pPr>
              <w:pStyle w:val="ListParagraph"/>
              <w:widowControl w:val="0"/>
              <w:numPr>
                <w:ilvl w:val="2"/>
                <w:numId w:val="10"/>
              </w:numPr>
              <w:autoSpaceDE/>
              <w:adjustRightInd/>
              <w:spacing w:after="160" w:line="256" w:lineRule="auto"/>
              <w:ind w:firstLineChars="0"/>
              <w:rPr>
                <w:sz w:val="18"/>
                <w:szCs w:val="18"/>
                <w:lang w:eastAsia="zh-CN"/>
              </w:rPr>
            </w:pPr>
            <w:r w:rsidRPr="00F4590C">
              <w:rPr>
                <w:sz w:val="18"/>
                <w:szCs w:val="18"/>
                <w:lang w:eastAsia="zh-CN"/>
              </w:rPr>
              <w:t>General procedure for small data transmission over configured grant type 1 resources from INACTIVE state [RAN2]</w:t>
            </w:r>
          </w:p>
          <w:p w14:paraId="1DA0F846"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lang w:eastAsia="zh-CN"/>
              </w:rPr>
            </w:pPr>
            <w:r w:rsidRPr="00F4590C">
              <w:rPr>
                <w:sz w:val="18"/>
                <w:szCs w:val="18"/>
                <w:lang w:eastAsia="zh-CN"/>
              </w:rPr>
              <w:t>Configuration of the configured grant type1 resources for small data transmission in UL for INACTIVE state [RAN2]</w:t>
            </w:r>
          </w:p>
          <w:p w14:paraId="4517D942" w14:textId="00865F21" w:rsidR="0003154B" w:rsidRPr="00F03FEA" w:rsidRDefault="0003154B" w:rsidP="00F03FEA">
            <w:pPr>
              <w:pStyle w:val="ListParagraph"/>
              <w:widowControl w:val="0"/>
              <w:autoSpaceDE/>
              <w:adjustRightInd/>
              <w:spacing w:after="160" w:line="256" w:lineRule="auto"/>
              <w:ind w:firstLineChars="0" w:firstLine="0"/>
              <w:rPr>
                <w:sz w:val="18"/>
                <w:szCs w:val="18"/>
                <w:lang w:eastAsia="zh-CN"/>
              </w:rPr>
            </w:pPr>
            <w:r w:rsidRPr="00F4590C">
              <w:rPr>
                <w:sz w:val="18"/>
                <w:szCs w:val="18"/>
                <w:lang w:eastAsia="zh-CN"/>
              </w:rPr>
              <w:t>No new RRC state should be introduced in this WID. Transmission of small data in UL, subsequent transmission of small data in UL and DL and the state transition decisions should be under network control.</w:t>
            </w:r>
          </w:p>
        </w:tc>
      </w:tr>
    </w:tbl>
    <w:p w14:paraId="49B3EA81" w14:textId="6ED0BDBC" w:rsidR="0003154B" w:rsidRDefault="0003154B" w:rsidP="00A209D6"/>
    <w:p w14:paraId="469EF80F" w14:textId="332A0723" w:rsidR="00020E36" w:rsidRPr="003C299D" w:rsidRDefault="00213204" w:rsidP="000777C5">
      <w:pPr>
        <w:rPr>
          <w:i/>
          <w:iCs/>
        </w:rPr>
      </w:pPr>
      <w:r>
        <w:t>The following was agreed in RAN2#111e:</w:t>
      </w:r>
    </w:p>
    <w:p w14:paraId="5B9F3509" w14:textId="77777777" w:rsidR="00020E36" w:rsidRPr="003C299D" w:rsidRDefault="00020E36" w:rsidP="00020E36">
      <w:pPr>
        <w:pStyle w:val="Doc-text2"/>
        <w:rPr>
          <w:i/>
          <w:iCs/>
        </w:rPr>
      </w:pPr>
    </w:p>
    <w:p w14:paraId="05C26F18"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0F2C9083"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 xml:space="preserve">1 </w:t>
      </w:r>
      <w:r w:rsidRPr="003C299D">
        <w:tab/>
        <w:t xml:space="preserve">Small data transmission with RRC message is supported as baseline for RA-based and CG based schemes  </w:t>
      </w:r>
    </w:p>
    <w:p w14:paraId="3BB0AC2F"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rPr>
          <w:lang w:val="en-US"/>
        </w:rPr>
      </w:pPr>
      <w:r w:rsidRPr="003C299D">
        <w:rPr>
          <w:lang w:val="en-US"/>
        </w:rPr>
        <w:t>2</w:t>
      </w:r>
      <w:r w:rsidRPr="003C299D">
        <w:rPr>
          <w:lang w:val="en-US"/>
        </w:rPr>
        <w:tab/>
        <w:t>RRC-less can be studied for limited use cases (e.g. same serving cell and/or for CG) with lower priority</w:t>
      </w:r>
    </w:p>
    <w:p w14:paraId="03CA6291"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rPr>
          <w:lang w:val="en-US"/>
        </w:rPr>
      </w:pPr>
      <w:r w:rsidRPr="003C299D">
        <w:rPr>
          <w:lang w:val="en-US"/>
        </w:rPr>
        <w:t>3</w:t>
      </w:r>
      <w:r w:rsidRPr="003C299D">
        <w:rPr>
          <w:lang w:val="en-US"/>
        </w:rPr>
        <w:tab/>
        <w:t xml:space="preserve">Context fetch and data forwarding with anchor re-location and without anchor re-location will be considered.   FFS if there are problems with the scenario “without anchor relocation”. </w:t>
      </w:r>
    </w:p>
    <w:p w14:paraId="0633FFD7"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lastRenderedPageBreak/>
        <w:t>4</w:t>
      </w:r>
      <w:r w:rsidRPr="003C299D">
        <w:tab/>
        <w:t>From RAN2 perspective, stored “configuration” in the UE Context is used for the RLC bearer configuration for any SDT mechanism (RACH and CG).</w:t>
      </w:r>
    </w:p>
    <w:p w14:paraId="13EA8033"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5</w:t>
      </w:r>
      <w:r w:rsidRPr="003C299D">
        <w:tab/>
        <w:t>The 2-step RACH or 4-step RACH should be applied to RACH based uplink small data transmission in RRC_INACTIVE</w:t>
      </w:r>
    </w:p>
    <w:p w14:paraId="2644D4A2"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6</w:t>
      </w:r>
      <w:r w:rsidRPr="003C299D">
        <w:tab/>
        <w:t>The uplink small data can be sent in MSGA of 2-step RACH or msg3 of 4-step RACH.</w:t>
      </w:r>
    </w:p>
    <w:p w14:paraId="399E15DB"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7</w:t>
      </w:r>
      <w:r w:rsidRPr="003C299D">
        <w:tab/>
        <w:t>Small data transmission is configured by the network on a per DRB basis</w:t>
      </w:r>
    </w:p>
    <w:p w14:paraId="00B94595"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8</w:t>
      </w:r>
      <w:r w:rsidRPr="003C299D">
        <w:tab/>
        <w:t xml:space="preserve">Data volume threshold is used for the UE to decide whether to do SDT or not.   FFS how we calculate data volume.  </w:t>
      </w:r>
    </w:p>
    <w:p w14:paraId="5EAF227E"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ab/>
        <w:t>FFS if an “additional SDT specific” RSRP threshold is further used to determine whether the UE should do SDT</w:t>
      </w:r>
    </w:p>
    <w:p w14:paraId="7FCB32E8"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9</w:t>
      </w:r>
      <w:r w:rsidRPr="003C299D">
        <w:tab/>
        <w:t xml:space="preserve">UL/DL transmission following UL SDT without transitioning to RRC_CONNECTED is supported </w:t>
      </w:r>
    </w:p>
    <w:p w14:paraId="316CF29B"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10</w:t>
      </w:r>
      <w:r w:rsidRPr="003C299D">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3BA3F5C2" w14:textId="77777777" w:rsidR="00020E36" w:rsidRPr="003C299D" w:rsidRDefault="00020E36" w:rsidP="00020E36">
      <w:pPr>
        <w:pStyle w:val="Doc-text2"/>
        <w:rPr>
          <w:i/>
          <w:iCs/>
        </w:rPr>
      </w:pPr>
    </w:p>
    <w:p w14:paraId="53EAABE1" w14:textId="0105F832" w:rsidR="005A4491" w:rsidRPr="008562A2" w:rsidRDefault="00507A2A" w:rsidP="000777C5">
      <w:r>
        <w:t>The following was agreed in RAN2#112e:</w:t>
      </w:r>
    </w:p>
    <w:tbl>
      <w:tblPr>
        <w:tblStyle w:val="TableGrid"/>
        <w:tblW w:w="0" w:type="auto"/>
        <w:tblInd w:w="1083" w:type="dxa"/>
        <w:tblLook w:val="04A0" w:firstRow="1" w:lastRow="0" w:firstColumn="1" w:lastColumn="0" w:noHBand="0" w:noVBand="1"/>
      </w:tblPr>
      <w:tblGrid>
        <w:gridCol w:w="8548"/>
      </w:tblGrid>
      <w:tr w:rsidR="005A4491" w:rsidRPr="008562A2" w14:paraId="66234B72" w14:textId="77777777" w:rsidTr="008F6DCC">
        <w:tc>
          <w:tcPr>
            <w:tcW w:w="10194" w:type="dxa"/>
          </w:tcPr>
          <w:p w14:paraId="6CD0BE36" w14:textId="77777777" w:rsidR="005A4491" w:rsidRPr="008562A2" w:rsidRDefault="005A4491" w:rsidP="008F6DCC">
            <w:pPr>
              <w:pStyle w:val="Doc-text2"/>
              <w:ind w:left="363"/>
              <w:rPr>
                <w:b/>
                <w:bCs/>
              </w:rPr>
            </w:pPr>
            <w:r w:rsidRPr="008562A2">
              <w:rPr>
                <w:b/>
                <w:bCs/>
              </w:rPr>
              <w:t>Agreements:</w:t>
            </w:r>
          </w:p>
          <w:p w14:paraId="1F1E17E7" w14:textId="77777777" w:rsidR="005A4491" w:rsidRPr="008562A2" w:rsidRDefault="005A4491" w:rsidP="008F6DCC">
            <w:pPr>
              <w:pStyle w:val="Doc-text2"/>
              <w:ind w:left="363"/>
            </w:pPr>
            <w:r w:rsidRPr="008562A2">
              <w:t xml:space="preserve">1   For small data, for RACH and CG based solutions when the UE receives RRC release with Suspend config, the UE at least performs the following actions (i.e. same action as in legacy): </w:t>
            </w:r>
          </w:p>
          <w:p w14:paraId="6087BD2D" w14:textId="77777777" w:rsidR="005A4491" w:rsidRPr="008562A2" w:rsidRDefault="005A4491" w:rsidP="008F6DCC">
            <w:pPr>
              <w:pStyle w:val="Doc-text2"/>
              <w:ind w:left="363"/>
            </w:pPr>
            <w:r w:rsidRPr="008562A2">
              <w:t>-</w:t>
            </w:r>
            <w:r w:rsidRPr="008562A2">
              <w:tab/>
              <w:t xml:space="preserve">MAC is reset and default MAC cell group configuration is released </w:t>
            </w:r>
          </w:p>
          <w:p w14:paraId="52715365" w14:textId="77777777" w:rsidR="005A4491" w:rsidRPr="008562A2" w:rsidRDefault="005A4491" w:rsidP="008F6DCC">
            <w:pPr>
              <w:pStyle w:val="Doc-text2"/>
              <w:ind w:left="363"/>
            </w:pPr>
            <w:r w:rsidRPr="008562A2">
              <w:t>-</w:t>
            </w:r>
            <w:r w:rsidRPr="008562A2">
              <w:tab/>
              <w:t xml:space="preserve">RLC entities for SRB1 are re-established </w:t>
            </w:r>
          </w:p>
          <w:p w14:paraId="609920AE" w14:textId="77777777" w:rsidR="005A4491" w:rsidRPr="008562A2" w:rsidRDefault="005A4491" w:rsidP="008F6DCC">
            <w:pPr>
              <w:pStyle w:val="Doc-text2"/>
              <w:ind w:left="363"/>
            </w:pPr>
            <w:r w:rsidRPr="008562A2">
              <w:t>-</w:t>
            </w:r>
            <w:r w:rsidRPr="008562A2">
              <w:tab/>
              <w:t>SRBs and DRBs are suspended except SRB0</w:t>
            </w:r>
          </w:p>
          <w:p w14:paraId="6D87AEFD" w14:textId="77777777" w:rsidR="005A4491" w:rsidRPr="008562A2" w:rsidRDefault="005A4491" w:rsidP="008F6DCC">
            <w:pPr>
              <w:pStyle w:val="Doc-text2"/>
              <w:ind w:left="363"/>
            </w:pPr>
            <w:r w:rsidRPr="008562A2">
              <w:t>NOTE: SDT termination will be discussed with later papers</w:t>
            </w:r>
          </w:p>
          <w:p w14:paraId="095122D0" w14:textId="77777777" w:rsidR="005A4491" w:rsidRPr="008562A2" w:rsidRDefault="005A4491" w:rsidP="008F6DCC">
            <w:pPr>
              <w:pStyle w:val="Doc-text2"/>
              <w:ind w:left="363"/>
              <w:rPr>
                <w:i/>
                <w:iCs/>
              </w:rPr>
            </w:pPr>
            <w:r w:rsidRPr="008562A2">
              <w:t>2</w:t>
            </w:r>
            <w:r w:rsidRPr="008562A2">
              <w:tab/>
              <w:t xml:space="preserve">For both RACH and CG based solutions, upon initiating RESUME procedure for SDT initiation (i.e. for first SDT transmission), the UE shall re-establish at least the SDT PDCP entities and resume the SDT DRBs that are configured for small data transmission (along with the SRB1). </w:t>
            </w:r>
            <w:r w:rsidRPr="008562A2">
              <w:rPr>
                <w:i/>
                <w:iCs/>
              </w:rPr>
              <w:t xml:space="preserve">FFS for non-SDT DRBs. FFS on implicit vs. explicit.  FFS on whether we a new Resume cause.  FFS on whether we need to deal with suppressing PDCP status report </w:t>
            </w:r>
          </w:p>
          <w:p w14:paraId="08B145A1" w14:textId="77777777" w:rsidR="005A4491" w:rsidRPr="008562A2" w:rsidRDefault="005A4491" w:rsidP="008F6DCC">
            <w:pPr>
              <w:pStyle w:val="Doc-text2"/>
              <w:ind w:left="363"/>
            </w:pPr>
            <w:r w:rsidRPr="008562A2">
              <w:t xml:space="preserve">3  </w:t>
            </w:r>
            <w:r w:rsidRPr="008562A2">
              <w:tab/>
              <w:t>The first UL message (i.e. MSG3 for 4-step RACH, MSGA payload for 2-step RACH and the CG transmission for CG) may contain at least the following contents (depending on the size of the message):</w:t>
            </w:r>
          </w:p>
          <w:p w14:paraId="13C8F095" w14:textId="77777777" w:rsidR="005A4491" w:rsidRPr="008562A2" w:rsidRDefault="005A4491" w:rsidP="008F6DCC">
            <w:pPr>
              <w:pStyle w:val="Doc-text2"/>
              <w:ind w:left="726"/>
            </w:pPr>
            <w:r w:rsidRPr="008562A2">
              <w:t>-</w:t>
            </w:r>
            <w:r w:rsidRPr="008562A2">
              <w:tab/>
              <w:t>CCCH message (needs to be included)</w:t>
            </w:r>
          </w:p>
          <w:p w14:paraId="1EC2355C" w14:textId="77777777" w:rsidR="005A4491" w:rsidRPr="008562A2" w:rsidRDefault="005A4491" w:rsidP="008F6DCC">
            <w:pPr>
              <w:pStyle w:val="Doc-text2"/>
              <w:ind w:left="726"/>
            </w:pPr>
            <w:r w:rsidRPr="008562A2">
              <w:t>LCP can be used to determine to priority of the content below that may be included</w:t>
            </w:r>
          </w:p>
          <w:p w14:paraId="1B85CADD" w14:textId="77777777" w:rsidR="005A4491" w:rsidRPr="008562A2" w:rsidRDefault="005A4491" w:rsidP="008F6DCC">
            <w:pPr>
              <w:pStyle w:val="Doc-text2"/>
              <w:ind w:left="726"/>
            </w:pPr>
            <w:r w:rsidRPr="008562A2">
              <w:t>-</w:t>
            </w:r>
            <w:r w:rsidRPr="008562A2">
              <w:tab/>
              <w:t xml:space="preserve">DRB data from one or more DRBs which are configured by the network for small data transmission </w:t>
            </w:r>
          </w:p>
          <w:p w14:paraId="76C43BDA" w14:textId="77777777" w:rsidR="005A4491" w:rsidRPr="008562A2" w:rsidRDefault="005A4491" w:rsidP="008F6DCC">
            <w:pPr>
              <w:pStyle w:val="Doc-text2"/>
              <w:ind w:left="726"/>
              <w:rPr>
                <w:lang w:val="en-US"/>
              </w:rPr>
            </w:pPr>
            <w:r w:rsidRPr="008562A2">
              <w:rPr>
                <w:lang w:val="fr-FR"/>
              </w:rPr>
              <w:t>-</w:t>
            </w:r>
            <w:r w:rsidRPr="008562A2">
              <w:rPr>
                <w:lang w:val="fr-FR"/>
              </w:rPr>
              <w:tab/>
              <w:t xml:space="preserve">MAC CEs – (e.g. BSR).  </w:t>
            </w:r>
            <w:r w:rsidRPr="008562A2">
              <w:rPr>
                <w:lang w:val="en-US"/>
              </w:rPr>
              <w:t xml:space="preserve">FFS other MAC CEs </w:t>
            </w:r>
          </w:p>
          <w:p w14:paraId="6139038B" w14:textId="77777777" w:rsidR="005A4491" w:rsidRPr="008562A2" w:rsidRDefault="005A4491" w:rsidP="008F6DCC">
            <w:pPr>
              <w:pStyle w:val="Doc-text2"/>
              <w:ind w:left="726"/>
              <w:rPr>
                <w:lang w:val="en-US"/>
              </w:rPr>
            </w:pPr>
            <w:r w:rsidRPr="008562A2">
              <w:rPr>
                <w:lang w:val="en-US"/>
              </w:rPr>
              <w:t>-</w:t>
            </w:r>
            <w:r w:rsidRPr="008562A2">
              <w:rPr>
                <w:lang w:val="en-US"/>
              </w:rPr>
              <w:tab/>
              <w:t>Padding bits</w:t>
            </w:r>
          </w:p>
          <w:p w14:paraId="6349D452" w14:textId="77777777" w:rsidR="005A4491" w:rsidRPr="008562A2" w:rsidRDefault="005A4491" w:rsidP="008F6DCC">
            <w:pPr>
              <w:pStyle w:val="Doc-text2"/>
              <w:ind w:left="363"/>
              <w:rPr>
                <w:lang w:val="en-US"/>
              </w:rPr>
            </w:pPr>
            <w:r w:rsidRPr="008562A2">
              <w:rPr>
                <w:lang w:val="en-US"/>
              </w:rPr>
              <w:tab/>
              <w:t xml:space="preserve">FFS if we need to ensure that SDT data only is included.  Depends on whether the UE initiates legacy/normal resume </w:t>
            </w:r>
          </w:p>
          <w:p w14:paraId="22632C0D" w14:textId="77777777" w:rsidR="005A4491" w:rsidRPr="008562A2" w:rsidRDefault="005A4491" w:rsidP="008F6DCC">
            <w:pPr>
              <w:pStyle w:val="Doc-text2"/>
              <w:ind w:left="363"/>
            </w:pPr>
            <w:r w:rsidRPr="008562A2">
              <w:t>4</w:t>
            </w:r>
            <w:r w:rsidRPr="008562A2">
              <w:tab/>
              <w:t>For RACH and CG, the existing UAC procedure to determine whether access attempt is allowed, will be reused for SDT.</w:t>
            </w:r>
          </w:p>
          <w:p w14:paraId="519DB587" w14:textId="77777777" w:rsidR="005A4491" w:rsidRPr="008562A2" w:rsidRDefault="005A4491" w:rsidP="008F6DCC">
            <w:pPr>
              <w:pStyle w:val="Doc-text2"/>
              <w:ind w:left="363"/>
            </w:pPr>
            <w:r w:rsidRPr="008562A2">
              <w:t>5</w:t>
            </w:r>
            <w:r w:rsidRPr="008562A2">
              <w:tab/>
              <w:t>SDT is transparent to NAS layer (i.e. NAS generates one of the existing resume causes and AS decides SDT vs non-SDT access)</w:t>
            </w:r>
          </w:p>
          <w:p w14:paraId="2A49EED6" w14:textId="77777777" w:rsidR="005A4491" w:rsidRPr="008562A2" w:rsidRDefault="005A4491" w:rsidP="008F6DCC">
            <w:pPr>
              <w:pStyle w:val="Doc-text2"/>
              <w:ind w:left="363"/>
            </w:pPr>
            <w:r w:rsidRPr="008562A2">
              <w:t xml:space="preserve">6 </w:t>
            </w:r>
            <w:r w:rsidRPr="008562A2">
              <w:tab/>
              <w:t>In case of RRC-based solution, for both RACH and CG based solutions, the CCCH message contains ResumeMAC-I generated using the stored security key for RRC integrity protection – i.e same as Rel-16.</w:t>
            </w:r>
          </w:p>
          <w:p w14:paraId="715C45B5" w14:textId="77777777" w:rsidR="005A4491" w:rsidRPr="008562A2" w:rsidRDefault="005A4491" w:rsidP="008F6DCC">
            <w:pPr>
              <w:pStyle w:val="Doc-text2"/>
              <w:ind w:left="363"/>
            </w:pPr>
            <w:r w:rsidRPr="008562A2">
              <w:t>7</w:t>
            </w:r>
            <w:r w:rsidRPr="008562A2">
              <w:tab/>
              <w:t>For both RACH and CG based solutions, new keys are generated using the stored security context and the NCC value received in the previous RRCRelease message (i.e. same as legacy procedure) and these new keys are used for generating the data of DRBs that are configured for SDT.</w:t>
            </w:r>
          </w:p>
          <w:p w14:paraId="7BEB12E8" w14:textId="77777777" w:rsidR="005A4491" w:rsidRPr="008562A2" w:rsidRDefault="005A4491" w:rsidP="008F6DCC">
            <w:pPr>
              <w:pStyle w:val="Doc-text2"/>
              <w:ind w:left="363"/>
              <w:rPr>
                <w:i/>
                <w:iCs/>
              </w:rPr>
            </w:pPr>
            <w:r w:rsidRPr="008562A2">
              <w:t>8</w:t>
            </w:r>
            <w:r w:rsidRPr="008562A2">
              <w:tab/>
              <w:t xml:space="preserve">For RACH based solutions, upon successful completion of contention resolution, the UE shall monitor the C-RNTI. </w:t>
            </w:r>
          </w:p>
          <w:p w14:paraId="04414CB0" w14:textId="77777777" w:rsidR="005A4491" w:rsidRPr="008562A2" w:rsidRDefault="005A4491" w:rsidP="008F6DCC">
            <w:pPr>
              <w:pStyle w:val="Doc-text2"/>
              <w:ind w:left="363"/>
            </w:pPr>
            <w:r w:rsidRPr="008562A2">
              <w:rPr>
                <w:i/>
                <w:iCs/>
              </w:rPr>
              <w:t>9</w:t>
            </w:r>
            <w:r w:rsidRPr="008562A2">
              <w:rPr>
                <w:i/>
                <w:iCs/>
              </w:rPr>
              <w:tab/>
              <w:t>Determine if RAN1 LS is needed later – current list of possible questions</w:t>
            </w:r>
            <w:r w:rsidRPr="008562A2">
              <w:t xml:space="preserve"> input on the coreset/search space for the C-RNTI (i.e. is it common or dedicated)</w:t>
            </w:r>
          </w:p>
          <w:p w14:paraId="5827BFE5" w14:textId="77777777" w:rsidR="005A4491" w:rsidRPr="008562A2" w:rsidRDefault="005A4491" w:rsidP="008F6DCC">
            <w:pPr>
              <w:pStyle w:val="Doc-text2"/>
              <w:ind w:left="363"/>
            </w:pPr>
            <w:r w:rsidRPr="008562A2">
              <w:t xml:space="preserve">10:  As a baseline, the RACH resource i.e. (RO+preamble combination) is different between SDT and non-SDT </w:t>
            </w:r>
          </w:p>
          <w:p w14:paraId="07F9AABB" w14:textId="77777777" w:rsidR="005A4491" w:rsidRPr="008562A2" w:rsidRDefault="005A4491" w:rsidP="008F6DCC">
            <w:pPr>
              <w:pStyle w:val="Doc-text2"/>
              <w:ind w:left="363"/>
            </w:pPr>
            <w:r w:rsidRPr="008562A2">
              <w:t>-</w:t>
            </w:r>
            <w:r w:rsidRPr="008562A2">
              <w:tab/>
              <w:t>If ROs for SDT and non SDT are different, preamble partitioning between SDT and non SDT is not needed.</w:t>
            </w:r>
          </w:p>
          <w:p w14:paraId="1017890D" w14:textId="77777777" w:rsidR="005A4491" w:rsidRPr="008562A2" w:rsidRDefault="005A4491" w:rsidP="008F6DCC">
            <w:pPr>
              <w:pStyle w:val="Doc-text2"/>
              <w:ind w:left="363"/>
            </w:pPr>
            <w:r w:rsidRPr="008562A2">
              <w:lastRenderedPageBreak/>
              <w:t>-</w:t>
            </w:r>
            <w:r w:rsidRPr="008562A2">
              <w:tab/>
              <w:t>If ROs for SDT and non SDT are same, preamble partitioning is needed</w:t>
            </w:r>
          </w:p>
          <w:p w14:paraId="71F16547" w14:textId="77777777" w:rsidR="005A4491" w:rsidRPr="008562A2" w:rsidRDefault="005A4491" w:rsidP="008F6DCC">
            <w:pPr>
              <w:pStyle w:val="Doc-text2"/>
              <w:ind w:left="363"/>
            </w:pPr>
            <w:r w:rsidRPr="008562A2">
              <w:t>FFS if common configuration should be allowed</w:t>
            </w:r>
          </w:p>
          <w:p w14:paraId="54C73F6A" w14:textId="77777777" w:rsidR="005A4491" w:rsidRPr="008562A2" w:rsidRDefault="005A4491" w:rsidP="008F6DCC">
            <w:pPr>
              <w:pStyle w:val="Doc-text2"/>
              <w:ind w:left="363"/>
            </w:pPr>
            <w:r w:rsidRPr="008562A2">
              <w:t>11:</w:t>
            </w:r>
            <w:r w:rsidRPr="008562A2">
              <w:tab/>
              <w:t>If the RACH resource i.e. (RO+preamble combination) is different between SDT and non-SDT then there is no further need for any differentiation between MSG2/MSGB for SDT vs non-SDT</w:t>
            </w:r>
          </w:p>
          <w:p w14:paraId="7AD8B1A0" w14:textId="77777777" w:rsidR="005A4491" w:rsidRPr="008562A2" w:rsidRDefault="005A4491" w:rsidP="008F6DCC">
            <w:pPr>
              <w:pStyle w:val="Doc-text2"/>
              <w:ind w:left="0" w:firstLine="0"/>
            </w:pPr>
          </w:p>
        </w:tc>
      </w:tr>
    </w:tbl>
    <w:p w14:paraId="73124C39" w14:textId="77777777" w:rsidR="005A4491" w:rsidRPr="008562A2" w:rsidRDefault="005A4491" w:rsidP="005A4491">
      <w:pPr>
        <w:pStyle w:val="Doc-text2"/>
        <w:ind w:left="1083"/>
      </w:pPr>
    </w:p>
    <w:p w14:paraId="3C138539" w14:textId="1C80FBB8" w:rsidR="005A4491" w:rsidRDefault="005A4491" w:rsidP="00507A2A"/>
    <w:p w14:paraId="6D8F5A6C" w14:textId="77777777" w:rsidR="005A4491" w:rsidRPr="008562A2" w:rsidRDefault="005A4491" w:rsidP="005A4491">
      <w:pPr>
        <w:pStyle w:val="Doc-text2"/>
        <w:rPr>
          <w:i/>
          <w:iCs/>
        </w:rPr>
      </w:pPr>
    </w:p>
    <w:p w14:paraId="2F8CD48D" w14:textId="77777777" w:rsidR="005A4491" w:rsidRPr="008562A2" w:rsidRDefault="005A4491" w:rsidP="005A4491">
      <w:pPr>
        <w:pStyle w:val="Doc-text2"/>
        <w:pBdr>
          <w:top w:val="single" w:sz="4" w:space="1" w:color="auto"/>
          <w:left w:val="single" w:sz="4" w:space="4" w:color="auto"/>
          <w:bottom w:val="single" w:sz="4" w:space="1" w:color="auto"/>
          <w:right w:val="single" w:sz="4" w:space="4" w:color="auto"/>
        </w:pBdr>
        <w:rPr>
          <w:b/>
          <w:bCs/>
        </w:rPr>
      </w:pPr>
      <w:r w:rsidRPr="008562A2">
        <w:rPr>
          <w:b/>
          <w:bCs/>
        </w:rPr>
        <w:t>Agreements</w:t>
      </w:r>
    </w:p>
    <w:p w14:paraId="48C2EDAE" w14:textId="77777777" w:rsidR="005A4491" w:rsidRPr="008562A2" w:rsidRDefault="005A4491" w:rsidP="005A4491">
      <w:pPr>
        <w:pStyle w:val="Doc-text2"/>
        <w:pBdr>
          <w:top w:val="single" w:sz="4" w:space="1" w:color="auto"/>
          <w:left w:val="single" w:sz="4" w:space="4" w:color="auto"/>
          <w:bottom w:val="single" w:sz="4" w:space="1" w:color="auto"/>
          <w:right w:val="single" w:sz="4" w:space="4" w:color="auto"/>
        </w:pBdr>
      </w:pPr>
      <w:r w:rsidRPr="008562A2">
        <w:t>Define a new timer.  FFS whether it has the same definition as T319 or it is restarted every UL/DL</w:t>
      </w:r>
    </w:p>
    <w:p w14:paraId="7924F87C" w14:textId="77777777" w:rsidR="005A4491" w:rsidRPr="008562A2" w:rsidRDefault="005A4491" w:rsidP="005A4491">
      <w:pPr>
        <w:pStyle w:val="Doc-text2"/>
        <w:ind w:left="363"/>
      </w:pPr>
    </w:p>
    <w:p w14:paraId="1E561CFF" w14:textId="77777777" w:rsidR="005A4491" w:rsidRPr="008562A2" w:rsidRDefault="005A4491" w:rsidP="005A4491">
      <w:pPr>
        <w:pStyle w:val="Doc-text2"/>
      </w:pPr>
    </w:p>
    <w:p w14:paraId="68A3265F" w14:textId="77777777" w:rsidR="005A4491" w:rsidRPr="008562A2" w:rsidRDefault="005A4491" w:rsidP="005A4491">
      <w:pPr>
        <w:pStyle w:val="Doc-text2"/>
        <w:pBdr>
          <w:top w:val="single" w:sz="4" w:space="1" w:color="auto"/>
          <w:left w:val="single" w:sz="4" w:space="4" w:color="auto"/>
          <w:bottom w:val="single" w:sz="4" w:space="1" w:color="auto"/>
          <w:right w:val="single" w:sz="4" w:space="4" w:color="auto"/>
        </w:pBdr>
        <w:rPr>
          <w:b/>
          <w:bCs/>
        </w:rPr>
      </w:pPr>
      <w:r w:rsidRPr="008562A2">
        <w:rPr>
          <w:b/>
          <w:bCs/>
        </w:rPr>
        <w:t>Agreements:</w:t>
      </w:r>
    </w:p>
    <w:p w14:paraId="5603EC24"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 xml:space="preserve">The configuration of configured grant resource for UE uplink small data transfer is contained in the RRCRelease message.  FFS if other dedicated messages can configure CG in INACTIVE CG. Configuration is only type 1 CG with no contention resolution procedure for CG. </w:t>
      </w:r>
    </w:p>
    <w:p w14:paraId="6F8714EA"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The configuration of configured grant resource can include one type 1 CG configuration.  FFS if multiple configured CGs are allowed</w:t>
      </w:r>
    </w:p>
    <w:p w14:paraId="2C3A4E2B"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A new TA timer for TA maintenance specified for configured grant based small data transfer in RRC_INACTIVE should be introduced.  FFS on the procedure, the validity of TA, and how to handle expiration of TA timer.  The TA timer is configured together with the CG configuration in the RRCRelease message.</w:t>
      </w:r>
    </w:p>
    <w:p w14:paraId="53D59685"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The configuration of configured grant resource for UE small data transmission is valid only in the same serving cell.  FFS for other CG validity criteria (e.g. timer, UL/SUL aspect, etc)</w:t>
      </w:r>
    </w:p>
    <w:p w14:paraId="43FC506C"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 xml:space="preserve">The UE can use configured grant based small data transfer if at least the following criteria is fulfilled (1) user data is smaller than the data volume threshold; (2) configured grant resource is configured and valid; (3) UE has valid TA.  FFS for the candidate beam criteria.  </w:t>
      </w:r>
    </w:p>
    <w:p w14:paraId="41A60C7C"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1A39D54E"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A SS-RSRP threshold is configured for SSB selection. UE selects one of the SSB with SS-RSRP above the threshold and selects the associated CG resource for UL data transmission.</w:t>
      </w:r>
    </w:p>
    <w:p w14:paraId="1B459025" w14:textId="113E6FE7" w:rsidR="005A4491" w:rsidRDefault="005A4491" w:rsidP="00507A2A"/>
    <w:p w14:paraId="158B68D1" w14:textId="4EF7E84D" w:rsidR="00A47469" w:rsidRDefault="00A47469" w:rsidP="00A47469">
      <w:r>
        <w:t>The following was agreed in RAN2#113ebis:</w:t>
      </w:r>
    </w:p>
    <w:p w14:paraId="4C55F8B5" w14:textId="77777777" w:rsidR="0059222F" w:rsidRDefault="0059222F" w:rsidP="0059222F">
      <w:pPr>
        <w:pStyle w:val="Doc-text2"/>
      </w:pPr>
    </w:p>
    <w:p w14:paraId="1933236E" w14:textId="77777777" w:rsidR="0059222F" w:rsidRPr="00CB0262" w:rsidRDefault="0059222F" w:rsidP="0059222F">
      <w:pPr>
        <w:pStyle w:val="Doc-text2"/>
        <w:pBdr>
          <w:top w:val="single" w:sz="4" w:space="1" w:color="auto"/>
          <w:left w:val="single" w:sz="4" w:space="4" w:color="auto"/>
          <w:bottom w:val="single" w:sz="4" w:space="1" w:color="auto"/>
          <w:right w:val="single" w:sz="4" w:space="4" w:color="auto"/>
        </w:pBdr>
        <w:rPr>
          <w:b/>
          <w:bCs/>
        </w:rPr>
      </w:pPr>
      <w:r w:rsidRPr="00CB0262">
        <w:rPr>
          <w:b/>
          <w:bCs/>
        </w:rPr>
        <w:t>Agreements</w:t>
      </w:r>
    </w:p>
    <w:p w14:paraId="59E2E71C" w14:textId="77777777" w:rsidR="0059222F" w:rsidRPr="00F922BD" w:rsidRDefault="0059222F" w:rsidP="0059222F">
      <w:pPr>
        <w:pStyle w:val="Doc-text2"/>
        <w:pBdr>
          <w:top w:val="single" w:sz="4" w:space="1" w:color="auto"/>
          <w:left w:val="single" w:sz="4" w:space="4" w:color="auto"/>
          <w:bottom w:val="single" w:sz="4" w:space="1" w:color="auto"/>
          <w:right w:val="single" w:sz="4" w:space="4" w:color="auto"/>
        </w:pBdr>
      </w:pPr>
      <w:r w:rsidRPr="00E560D4">
        <w:t>1</w:t>
      </w:r>
      <w:r w:rsidRPr="00E560D4">
        <w:rPr>
          <w:i/>
          <w:iCs/>
        </w:rPr>
        <w:tab/>
      </w:r>
      <w:r w:rsidRPr="00F922BD">
        <w:t>gNB can only configure MN terminated MCG bearer type for SDT</w:t>
      </w:r>
      <w:r w:rsidRPr="00F922BD">
        <w:tab/>
      </w:r>
    </w:p>
    <w:p w14:paraId="70C90731" w14:textId="77777777" w:rsidR="0059222F" w:rsidRDefault="0059222F" w:rsidP="0059222F">
      <w:pPr>
        <w:pStyle w:val="Doc-text2"/>
        <w:pBdr>
          <w:top w:val="single" w:sz="4" w:space="1" w:color="auto"/>
          <w:left w:val="single" w:sz="4" w:space="4" w:color="auto"/>
          <w:bottom w:val="single" w:sz="4" w:space="1" w:color="auto"/>
          <w:right w:val="single" w:sz="4" w:space="4" w:color="auto"/>
        </w:pBdr>
      </w:pPr>
      <w:r>
        <w:t>2</w:t>
      </w:r>
      <w:r>
        <w:tab/>
        <w:t>Non-SDT radio bearers are only resumed upon receiving RRCResume (same as today)</w:t>
      </w:r>
    </w:p>
    <w:p w14:paraId="6B25E3D3" w14:textId="77777777" w:rsidR="0059222F" w:rsidRDefault="0059222F" w:rsidP="0059222F">
      <w:pPr>
        <w:pStyle w:val="Doc-text2"/>
        <w:pBdr>
          <w:top w:val="single" w:sz="4" w:space="1" w:color="auto"/>
          <w:left w:val="single" w:sz="4" w:space="4" w:color="auto"/>
          <w:bottom w:val="single" w:sz="4" w:space="1" w:color="auto"/>
          <w:right w:val="single" w:sz="4" w:space="4" w:color="auto"/>
        </w:pBdr>
      </w:pPr>
      <w:r>
        <w:t>3</w:t>
      </w:r>
      <w:r>
        <w:tab/>
        <w:t>Down-scope to two solutions (CCCH or DCCH) and ask SA3 about security issues (explain that CCCH message will be repeated in same cell and ask if there is a question)</w:t>
      </w:r>
    </w:p>
    <w:p w14:paraId="27A20DC4" w14:textId="77777777" w:rsidR="0059222F" w:rsidRDefault="0059222F" w:rsidP="0059222F">
      <w:pPr>
        <w:pStyle w:val="Doc-text2"/>
      </w:pPr>
    </w:p>
    <w:p w14:paraId="2040D126" w14:textId="77777777" w:rsidR="00A47469" w:rsidRDefault="00A47469" w:rsidP="00A47469">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71A4739F" w14:textId="77777777" w:rsidR="00A47469" w:rsidRPr="00E5574F" w:rsidRDefault="00A47469" w:rsidP="00A47469">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E5574F">
        <w:t>SDT failure detection timer is started upon initiation of SDT procedure</w:t>
      </w:r>
    </w:p>
    <w:p w14:paraId="4CF48C47" w14:textId="77777777" w:rsidR="00A47469" w:rsidRPr="00E5574F" w:rsidRDefault="00A47469" w:rsidP="00A47469">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E5574F">
        <w:t>T319 legacy is not started if RRCResumeRequest or RRCResumeRequest1 is transmitted …</w:t>
      </w:r>
    </w:p>
    <w:p w14:paraId="5CB660D3" w14:textId="77777777" w:rsidR="00A47469" w:rsidRPr="00E5574F" w:rsidRDefault="00A47469" w:rsidP="00A47469">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E5574F">
        <w:t>T319 legacy stop conditions also apply to SDT failure detection timer</w:t>
      </w:r>
    </w:p>
    <w:p w14:paraId="5BAD611B" w14:textId="77777777" w:rsidR="00A47469" w:rsidRPr="00E5574F" w:rsidRDefault="00A47469" w:rsidP="00A47469">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E5574F">
        <w:t xml:space="preserve">RRC re-establishment procedure is not supported for SDT </w:t>
      </w:r>
    </w:p>
    <w:p w14:paraId="25733C93" w14:textId="77777777" w:rsidR="00A47469" w:rsidRDefault="00A47469" w:rsidP="00A47469">
      <w:pPr>
        <w:pStyle w:val="Doc-text2"/>
        <w:pBdr>
          <w:top w:val="single" w:sz="4" w:space="1" w:color="auto"/>
          <w:left w:val="single" w:sz="4" w:space="4" w:color="auto"/>
          <w:bottom w:val="single" w:sz="4" w:space="1" w:color="auto"/>
          <w:right w:val="single" w:sz="4" w:space="4" w:color="auto"/>
        </w:pBdr>
        <w:rPr>
          <w:b/>
          <w:bCs/>
        </w:rPr>
      </w:pPr>
    </w:p>
    <w:p w14:paraId="50E79F3B" w14:textId="77777777" w:rsidR="00A47469" w:rsidRDefault="00A47469" w:rsidP="00A47469">
      <w:pPr>
        <w:pStyle w:val="Doc-text2"/>
        <w:pBdr>
          <w:top w:val="single" w:sz="4" w:space="1" w:color="auto"/>
          <w:left w:val="single" w:sz="4" w:space="4" w:color="auto"/>
          <w:bottom w:val="single" w:sz="4" w:space="1" w:color="auto"/>
          <w:right w:val="single" w:sz="4" w:space="4" w:color="auto"/>
        </w:pBdr>
      </w:pPr>
      <w:r>
        <w:t>5</w:t>
      </w:r>
      <w:r>
        <w:tab/>
        <w:t>An LS is sent to SA3 to verify feasibility/impacts of re-using same NCC/I-RNTI value temporarily for RRC Resume procedure in new cell during SDT procedure (include same cell question from 502]</w:t>
      </w:r>
    </w:p>
    <w:p w14:paraId="60D46D61" w14:textId="77777777" w:rsidR="00A47469" w:rsidRDefault="00A47469" w:rsidP="00A47469">
      <w:pPr>
        <w:pStyle w:val="Doc-text2"/>
        <w:pBdr>
          <w:top w:val="single" w:sz="4" w:space="1" w:color="auto"/>
          <w:left w:val="single" w:sz="4" w:space="4" w:color="auto"/>
          <w:bottom w:val="single" w:sz="4" w:space="1" w:color="auto"/>
          <w:right w:val="single" w:sz="4" w:space="4" w:color="auto"/>
        </w:pBdr>
      </w:pPr>
      <w:r>
        <w:lastRenderedPageBreak/>
        <w:t>6</w:t>
      </w:r>
      <w:r>
        <w:tab/>
        <w:t>FFS - RAN2 to select between the following options for cell re-selection during ongoing SDT procedure next meeting: 1) UE transitions to IDLE, possibly performing high-layer retransmission (8/25); or 2) UE remains in INACTIVE and sends RRC Resume to new cell</w:t>
      </w:r>
    </w:p>
    <w:p w14:paraId="5074FF00" w14:textId="77777777" w:rsidR="00A47469" w:rsidRPr="00E4731D" w:rsidRDefault="00A47469" w:rsidP="00A47469">
      <w:pPr>
        <w:pStyle w:val="Doc-text2"/>
        <w:pBdr>
          <w:top w:val="single" w:sz="4" w:space="1" w:color="auto"/>
          <w:left w:val="single" w:sz="4" w:space="4" w:color="auto"/>
          <w:bottom w:val="single" w:sz="4" w:space="1" w:color="auto"/>
          <w:right w:val="single" w:sz="4" w:space="4" w:color="auto"/>
        </w:pBdr>
        <w:rPr>
          <w:b/>
          <w:bCs/>
          <w:lang w:val="en-US"/>
        </w:rPr>
      </w:pPr>
      <w:r>
        <w:t>7</w:t>
      </w:r>
      <w:r>
        <w:tab/>
        <w:t>FFS Upon SDT failure detection timer expiry, the same procedure as T319 expiry is used (e.g. transition to IDLE as in the case of expiry of the T319 timer and attempts RRC connection setup)  (18/8)</w:t>
      </w:r>
    </w:p>
    <w:p w14:paraId="336777E5" w14:textId="77777777" w:rsidR="00A47469" w:rsidRDefault="00A47469" w:rsidP="00A47469">
      <w:pPr>
        <w:pStyle w:val="Doc-text2"/>
        <w:rPr>
          <w:b/>
          <w:bCs/>
          <w:lang w:val="en-US"/>
        </w:rPr>
      </w:pPr>
    </w:p>
    <w:p w14:paraId="2357B99A" w14:textId="77777777" w:rsidR="00A47469" w:rsidRDefault="00A47469" w:rsidP="00507A2A"/>
    <w:p w14:paraId="6531E805" w14:textId="77777777" w:rsidR="00020E36" w:rsidRDefault="00020E36" w:rsidP="00A209D6"/>
    <w:p w14:paraId="7FE147A8" w14:textId="3D3C7772" w:rsidR="002D7ABD" w:rsidRDefault="0003154B" w:rsidP="002D7ABD">
      <w:r w:rsidRPr="0003154B">
        <w:t xml:space="preserve">In this paper, we </w:t>
      </w:r>
      <w:r>
        <w:t xml:space="preserve">discuss </w:t>
      </w:r>
      <w:r w:rsidR="00C15D3C">
        <w:t xml:space="preserve">further control plane aspects for </w:t>
      </w:r>
      <w:r w:rsidR="002D7ABD">
        <w:t xml:space="preserve">RACH-based </w:t>
      </w:r>
      <w:r w:rsidR="00AD76DD">
        <w:t xml:space="preserve">SDT </w:t>
      </w:r>
      <w:r w:rsidR="008D6559">
        <w:t>schemes</w:t>
      </w:r>
      <w:r w:rsidR="002D7ABD">
        <w:t xml:space="preserve"> </w:t>
      </w:r>
    </w:p>
    <w:p w14:paraId="487A46A7" w14:textId="725FA6B6" w:rsidR="00394D38" w:rsidRDefault="00A209D6" w:rsidP="000777C5">
      <w:pPr>
        <w:pStyle w:val="Heading1"/>
      </w:pPr>
      <w:r w:rsidRPr="006E13D1">
        <w:t>2</w:t>
      </w:r>
      <w:r w:rsidRPr="006E13D1">
        <w:tab/>
      </w:r>
      <w:r w:rsidR="00477E04">
        <w:t>Discussion</w:t>
      </w:r>
    </w:p>
    <w:p w14:paraId="067FEBDD" w14:textId="05DD1F88" w:rsidR="002D0877" w:rsidRDefault="002D0877" w:rsidP="002D0877">
      <w:pPr>
        <w:pStyle w:val="Heading2"/>
      </w:pPr>
      <w:r>
        <w:t>2.1</w:t>
      </w:r>
      <w:r>
        <w:tab/>
        <w:t xml:space="preserve">RRC </w:t>
      </w:r>
      <w:r w:rsidR="00AC7E1A">
        <w:t xml:space="preserve">procedure </w:t>
      </w:r>
    </w:p>
    <w:p w14:paraId="27B6FBD8" w14:textId="7A4BD7A1" w:rsidR="00AC7E1A" w:rsidRPr="003C299D" w:rsidRDefault="00AC7E1A" w:rsidP="00AC7E1A">
      <w:r>
        <w:t>In NR the network can respond by following messages for RRC Resume Request sent by the UE as per TS 38.331</w:t>
      </w:r>
      <w:r w:rsidR="009F58A6">
        <w:t>:</w:t>
      </w:r>
    </w:p>
    <w:p w14:paraId="44878CE8" w14:textId="77777777" w:rsidR="00AC7E1A" w:rsidRPr="003C299D" w:rsidRDefault="00AC7E1A" w:rsidP="00AC7E1A">
      <w:pPr>
        <w:pStyle w:val="Doc-text2"/>
        <w:rPr>
          <w:i/>
          <w:iCs/>
        </w:rPr>
      </w:pPr>
    </w:p>
    <w:p w14:paraId="6EF96362" w14:textId="77777777" w:rsidR="00AC7E1A" w:rsidRPr="00DE5341" w:rsidRDefault="00AC7E1A" w:rsidP="00AC7E1A">
      <w:pPr>
        <w:pStyle w:val="Heading3"/>
      </w:pPr>
      <w:bookmarkStart w:id="1" w:name="_Toc60776830"/>
      <w:bookmarkStart w:id="2" w:name="_Toc68014770"/>
      <w:r w:rsidRPr="00DE5341">
        <w:t>5.3.13</w:t>
      </w:r>
      <w:r w:rsidRPr="00DE5341">
        <w:tab/>
        <w:t>RRC connection resume</w:t>
      </w:r>
      <w:bookmarkEnd w:id="1"/>
      <w:bookmarkEnd w:id="2"/>
    </w:p>
    <w:p w14:paraId="7066927F" w14:textId="77777777" w:rsidR="00AC7E1A" w:rsidRPr="00DE5341" w:rsidRDefault="00AC7E1A" w:rsidP="00AC7E1A">
      <w:pPr>
        <w:pStyle w:val="Heading4"/>
      </w:pPr>
      <w:bookmarkStart w:id="3" w:name="_Toc60776831"/>
      <w:bookmarkStart w:id="4" w:name="_Toc68014771"/>
      <w:r w:rsidRPr="00DE5341">
        <w:t>5.3.13.1</w:t>
      </w:r>
      <w:r w:rsidRPr="00DE5341">
        <w:tab/>
        <w:t>General</w:t>
      </w:r>
      <w:bookmarkEnd w:id="3"/>
      <w:bookmarkEnd w:id="4"/>
    </w:p>
    <w:p w14:paraId="2A0F018F" w14:textId="77777777" w:rsidR="00AC7E1A" w:rsidRPr="00DE5341" w:rsidRDefault="00AC7E1A" w:rsidP="00AC7E1A">
      <w:pPr>
        <w:pStyle w:val="TH"/>
      </w:pPr>
      <w:r w:rsidRPr="00DE5341">
        <w:rPr>
          <w:noProof/>
        </w:rPr>
        <w:object w:dxaOrig="5175" w:dyaOrig="2325" w14:anchorId="629809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pt;height:116.5pt" o:ole="">
            <v:imagedata r:id="rId12" o:title="" croptop="-1873f" cropbottom="8001f" cropright="2479f"/>
          </v:shape>
          <o:OLEObject Type="Embed" ProgID="Mscgen.Chart" ShapeID="_x0000_i1025" DrawAspect="Content" ObjectID="_1682175788" r:id="rId13"/>
        </w:object>
      </w:r>
    </w:p>
    <w:p w14:paraId="1CBB8253" w14:textId="77777777" w:rsidR="00AC7E1A" w:rsidRDefault="00AC7E1A" w:rsidP="00AC7E1A">
      <w:pPr>
        <w:pStyle w:val="TF"/>
      </w:pPr>
      <w:r w:rsidRPr="00DE5341">
        <w:t>Figure 5.3.13.1-1: RRC connection resume, successful</w:t>
      </w:r>
    </w:p>
    <w:p w14:paraId="6083668B" w14:textId="77777777" w:rsidR="00AC7E1A" w:rsidRPr="00DE5341" w:rsidRDefault="00AC7E1A" w:rsidP="00AC7E1A">
      <w:pPr>
        <w:pStyle w:val="TF"/>
      </w:pPr>
      <w:r>
        <w:object w:dxaOrig="5460" w:dyaOrig="2565" w14:anchorId="7DB5352E">
          <v:shape id="_x0000_i1026" type="#_x0000_t75" style="width:273pt;height:128.5pt" o:ole="">
            <v:imagedata r:id="rId14" o:title=""/>
          </v:shape>
          <o:OLEObject Type="Embed" ProgID="Mscgen.Chart" ShapeID="_x0000_i1026" DrawAspect="Content" ObjectID="_1682175789" r:id="rId15"/>
        </w:object>
      </w:r>
    </w:p>
    <w:p w14:paraId="2C01CBC6" w14:textId="77777777" w:rsidR="00AC7E1A" w:rsidRPr="00DE5341" w:rsidRDefault="00AC7E1A" w:rsidP="00AC7E1A">
      <w:pPr>
        <w:pStyle w:val="TF"/>
      </w:pPr>
      <w:r w:rsidRPr="00DE5341">
        <w:t>Figure 5.3.13.1-2: RRC connection resume fallback to RRC connection establishment, successful</w:t>
      </w:r>
    </w:p>
    <w:p w14:paraId="5BF32646" w14:textId="77777777" w:rsidR="00AC7E1A" w:rsidRPr="00DE5341" w:rsidRDefault="00AC7E1A" w:rsidP="00AC7E1A">
      <w:pPr>
        <w:pStyle w:val="TH"/>
      </w:pPr>
      <w:r>
        <w:object w:dxaOrig="5460" w:dyaOrig="2055" w14:anchorId="2BC6168E">
          <v:shape id="_x0000_i1027" type="#_x0000_t75" style="width:273pt;height:103pt" o:ole="">
            <v:imagedata r:id="rId16" o:title=""/>
          </v:shape>
          <o:OLEObject Type="Embed" ProgID="Mscgen.Chart" ShapeID="_x0000_i1027" DrawAspect="Content" ObjectID="_1682175790" r:id="rId17"/>
        </w:object>
      </w:r>
    </w:p>
    <w:p w14:paraId="1A101FE0" w14:textId="77777777" w:rsidR="00AC7E1A" w:rsidRPr="00DE5341" w:rsidRDefault="00AC7E1A" w:rsidP="00AC7E1A">
      <w:pPr>
        <w:pStyle w:val="TF"/>
      </w:pPr>
      <w:r w:rsidRPr="00DE5341">
        <w:t>Figure 5.3.13.1-3: RRC connection resume followed by network release, successful</w:t>
      </w:r>
    </w:p>
    <w:p w14:paraId="77A3A30C" w14:textId="77777777" w:rsidR="00AC7E1A" w:rsidRPr="00DE5341" w:rsidRDefault="00AC7E1A" w:rsidP="00AC7E1A">
      <w:pPr>
        <w:pStyle w:val="TH"/>
      </w:pPr>
      <w:r>
        <w:object w:dxaOrig="5460" w:dyaOrig="2055" w14:anchorId="695C0E57">
          <v:shape id="_x0000_i1028" type="#_x0000_t75" style="width:273pt;height:103pt" o:ole="">
            <v:imagedata r:id="rId18" o:title=""/>
          </v:shape>
          <o:OLEObject Type="Embed" ProgID="Mscgen.Chart" ShapeID="_x0000_i1028" DrawAspect="Content" ObjectID="_1682175791" r:id="rId19"/>
        </w:object>
      </w:r>
    </w:p>
    <w:p w14:paraId="5BB2F8EC" w14:textId="77777777" w:rsidR="00AC7E1A" w:rsidRPr="00DE5341" w:rsidRDefault="00AC7E1A" w:rsidP="00AC7E1A">
      <w:pPr>
        <w:pStyle w:val="TF"/>
      </w:pPr>
      <w:r w:rsidRPr="00DE5341">
        <w:t>Figure 5.3.13.1-4: RRC connection resume followed by network suspend, successful</w:t>
      </w:r>
    </w:p>
    <w:p w14:paraId="7C044F6C" w14:textId="77777777" w:rsidR="00AC7E1A" w:rsidRPr="00DE5341" w:rsidRDefault="00AC7E1A" w:rsidP="00AC7E1A">
      <w:pPr>
        <w:pStyle w:val="TH"/>
      </w:pPr>
      <w:r>
        <w:object w:dxaOrig="5460" w:dyaOrig="2055" w14:anchorId="0B9F07C2">
          <v:shape id="_x0000_i1029" type="#_x0000_t75" style="width:273pt;height:103pt" o:ole="">
            <v:imagedata r:id="rId20" o:title=""/>
          </v:shape>
          <o:OLEObject Type="Embed" ProgID="Mscgen.Chart" ShapeID="_x0000_i1029" DrawAspect="Content" ObjectID="_1682175792" r:id="rId21"/>
        </w:object>
      </w:r>
    </w:p>
    <w:p w14:paraId="4C67CC55" w14:textId="77777777" w:rsidR="00AC7E1A" w:rsidRPr="00DE5341" w:rsidRDefault="00AC7E1A" w:rsidP="00AC7E1A">
      <w:pPr>
        <w:pStyle w:val="TF"/>
      </w:pPr>
      <w:r w:rsidRPr="00DE5341">
        <w:t>Figure 5.3.13.1-5: RRC connection resume, network reject</w:t>
      </w:r>
    </w:p>
    <w:p w14:paraId="6CAA5DAC" w14:textId="5E34D540" w:rsidR="00155333" w:rsidRDefault="00AC7E1A" w:rsidP="002D0877">
      <w:r>
        <w:t xml:space="preserve">We think the same functionality </w:t>
      </w:r>
      <w:r w:rsidR="00A41A50">
        <w:t>than f</w:t>
      </w:r>
      <w:r w:rsidR="00CB4B83">
        <w:t>or</w:t>
      </w:r>
      <w:r w:rsidR="00A41A50">
        <w:t xml:space="preserve"> regular RRC Resume procedure </w:t>
      </w:r>
      <w:r>
        <w:t xml:space="preserve">should be supported also for the SDT procedure. </w:t>
      </w:r>
      <w:r w:rsidR="00155333">
        <w:t>It was already agreed in RAN2#113ebis meeting that RRC Resume Request and RRC Resume messages are supported:</w:t>
      </w:r>
    </w:p>
    <w:p w14:paraId="7597A946" w14:textId="77777777" w:rsidR="00155333" w:rsidRDefault="00155333" w:rsidP="00155333">
      <w:pPr>
        <w:pStyle w:val="Doc-text2"/>
      </w:pPr>
    </w:p>
    <w:p w14:paraId="5645D106" w14:textId="77777777" w:rsidR="00155333" w:rsidRPr="00CB0262" w:rsidRDefault="00155333" w:rsidP="00155333">
      <w:pPr>
        <w:pStyle w:val="Doc-text2"/>
        <w:pBdr>
          <w:top w:val="single" w:sz="4" w:space="1" w:color="auto"/>
          <w:left w:val="single" w:sz="4" w:space="4" w:color="auto"/>
          <w:bottom w:val="single" w:sz="4" w:space="1" w:color="auto"/>
          <w:right w:val="single" w:sz="4" w:space="4" w:color="auto"/>
        </w:pBdr>
        <w:rPr>
          <w:b/>
          <w:bCs/>
        </w:rPr>
      </w:pPr>
      <w:r w:rsidRPr="00CB0262">
        <w:rPr>
          <w:b/>
          <w:bCs/>
        </w:rPr>
        <w:t>Agreements</w:t>
      </w:r>
    </w:p>
    <w:p w14:paraId="313FE3C4" w14:textId="6118EDDA" w:rsidR="00155333" w:rsidRDefault="00155333" w:rsidP="00155333">
      <w:pPr>
        <w:pStyle w:val="Doc-text2"/>
        <w:pBdr>
          <w:top w:val="single" w:sz="4" w:space="1" w:color="auto"/>
          <w:left w:val="single" w:sz="4" w:space="4" w:color="auto"/>
          <w:bottom w:val="single" w:sz="4" w:space="1" w:color="auto"/>
          <w:right w:val="single" w:sz="4" w:space="4" w:color="auto"/>
        </w:pBdr>
      </w:pPr>
      <w:r>
        <w:t>2</w:t>
      </w:r>
      <w:r>
        <w:tab/>
        <w:t>Non-SDT radio bearers are only resumed upon receiving RRCResume (same as today)</w:t>
      </w:r>
    </w:p>
    <w:p w14:paraId="6D2BCF3D" w14:textId="77777777" w:rsidR="00155333" w:rsidRDefault="00155333" w:rsidP="00155333">
      <w:pPr>
        <w:pStyle w:val="Doc-text2"/>
      </w:pPr>
    </w:p>
    <w:p w14:paraId="3AE765D8" w14:textId="77777777" w:rsidR="00155333" w:rsidRDefault="00155333" w:rsidP="00155333">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5A831541" w14:textId="2F5AAA28" w:rsidR="00155333" w:rsidRDefault="00155333" w:rsidP="00155333">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rPr>
          <w:b/>
          <w:bCs/>
          <w:lang w:val="en-US"/>
        </w:rPr>
      </w:pPr>
      <w:r w:rsidRPr="00E5574F">
        <w:t xml:space="preserve">T319 legacy is not started if RRCResumeRequest or RRCResumeRequest1 is transmitted </w:t>
      </w:r>
    </w:p>
    <w:p w14:paraId="33E23223" w14:textId="77777777" w:rsidR="00155333" w:rsidRDefault="00155333" w:rsidP="002D0877"/>
    <w:p w14:paraId="60C3680A" w14:textId="5ED887E5" w:rsidR="00AC7E1A" w:rsidRDefault="00AC7E1A" w:rsidP="002D0877">
      <w:r>
        <w:t>Therefore, we propose the following:</w:t>
      </w:r>
    </w:p>
    <w:p w14:paraId="7EC07167" w14:textId="57155BD1" w:rsidR="009E4627" w:rsidRPr="002A26B5" w:rsidRDefault="009E4627" w:rsidP="009E4627">
      <w:pPr>
        <w:rPr>
          <w:b/>
          <w:bCs/>
          <w:lang w:val="en-US"/>
        </w:rPr>
      </w:pPr>
      <w:r>
        <w:rPr>
          <w:b/>
          <w:bCs/>
          <w:lang w:val="en-US"/>
        </w:rPr>
        <w:t xml:space="preserve">Proposal </w:t>
      </w:r>
      <w:r w:rsidR="00BA51A5">
        <w:rPr>
          <w:b/>
          <w:bCs/>
          <w:lang w:val="en-US"/>
        </w:rPr>
        <w:t>1</w:t>
      </w:r>
      <w:r>
        <w:rPr>
          <w:b/>
          <w:bCs/>
          <w:lang w:val="en-US"/>
        </w:rPr>
        <w:t>: Network can respond with RRC Setup to RRC Resume Request for SDT</w:t>
      </w:r>
    </w:p>
    <w:p w14:paraId="241FF4C8" w14:textId="12B6356E" w:rsidR="009E4627" w:rsidRDefault="009E4627" w:rsidP="009E4627">
      <w:pPr>
        <w:rPr>
          <w:b/>
          <w:bCs/>
          <w:lang w:val="en-US"/>
        </w:rPr>
      </w:pPr>
      <w:r>
        <w:rPr>
          <w:b/>
          <w:bCs/>
          <w:lang w:val="en-US"/>
        </w:rPr>
        <w:t xml:space="preserve">Proposal </w:t>
      </w:r>
      <w:r w:rsidR="00BA51A5">
        <w:rPr>
          <w:b/>
          <w:bCs/>
          <w:lang w:val="en-US"/>
        </w:rPr>
        <w:t>2</w:t>
      </w:r>
      <w:r>
        <w:rPr>
          <w:b/>
          <w:bCs/>
          <w:lang w:val="en-US"/>
        </w:rPr>
        <w:t>: Network can respond with RRC Release with or without suspend config to RRC Resume Request for SDT</w:t>
      </w:r>
    </w:p>
    <w:p w14:paraId="3D1FE433" w14:textId="09D41685" w:rsidR="009E4627" w:rsidRPr="002A26B5" w:rsidRDefault="009E4627" w:rsidP="009E4627">
      <w:pPr>
        <w:rPr>
          <w:b/>
          <w:bCs/>
          <w:lang w:val="en-US"/>
        </w:rPr>
      </w:pPr>
      <w:r>
        <w:rPr>
          <w:b/>
          <w:bCs/>
          <w:lang w:val="en-US"/>
        </w:rPr>
        <w:t xml:space="preserve">Proposal </w:t>
      </w:r>
      <w:r w:rsidR="00BA51A5">
        <w:rPr>
          <w:b/>
          <w:bCs/>
          <w:lang w:val="en-US"/>
        </w:rPr>
        <w:t>3</w:t>
      </w:r>
      <w:r>
        <w:rPr>
          <w:b/>
          <w:bCs/>
          <w:lang w:val="en-US"/>
        </w:rPr>
        <w:t>: Network can respond with RRC Reject to RRC Resume Request for SDT</w:t>
      </w:r>
    </w:p>
    <w:p w14:paraId="5B10AFA2" w14:textId="02063D79" w:rsidR="0062612A" w:rsidRPr="0062612A" w:rsidRDefault="00963C3A" w:rsidP="006F2556">
      <w:pPr>
        <w:rPr>
          <w:lang w:val="en-US"/>
        </w:rPr>
      </w:pPr>
      <w:r>
        <w:t>In addition</w:t>
      </w:r>
      <w:r w:rsidR="00AA6634">
        <w:t xml:space="preserve">, the network response may also carry a DL payload for cases when the network may have DL data for the UE at the time of sending the response. For these cases, the </w:t>
      </w:r>
      <w:r w:rsidR="00AA6634" w:rsidRPr="00AD76DD">
        <w:t>DTCH (UP</w:t>
      </w:r>
      <w:r w:rsidR="00AA6634">
        <w:t xml:space="preserve"> DL</w:t>
      </w:r>
      <w:r w:rsidR="00AA6634" w:rsidRPr="00AD76DD">
        <w:t xml:space="preserve"> data)</w:t>
      </w:r>
      <w:r w:rsidR="00AA6634">
        <w:t xml:space="preserve"> could be multiplexed with the </w:t>
      </w:r>
      <w:r w:rsidR="00AA6634" w:rsidRPr="00AD76DD">
        <w:t>DCCH (RRC message</w:t>
      </w:r>
      <w:r w:rsidR="00AA6634">
        <w:t xml:space="preserve">) in the </w:t>
      </w:r>
      <w:r w:rsidR="00AA6634" w:rsidRPr="00AD76DD">
        <w:t>MAC sublayer</w:t>
      </w:r>
      <w:r w:rsidR="00AA6634">
        <w:t>.</w:t>
      </w:r>
    </w:p>
    <w:p w14:paraId="661E82C7" w14:textId="5F040C94" w:rsidR="0096604F" w:rsidRPr="002A26B5" w:rsidRDefault="00AF45FA" w:rsidP="00AF45FA">
      <w:pPr>
        <w:rPr>
          <w:b/>
          <w:bCs/>
          <w:lang w:val="en-US"/>
        </w:rPr>
      </w:pPr>
      <w:r w:rsidRPr="002A26B5">
        <w:rPr>
          <w:b/>
          <w:bCs/>
          <w:lang w:val="en-US"/>
        </w:rPr>
        <w:t xml:space="preserve">Proposal </w:t>
      </w:r>
      <w:r w:rsidR="00010973">
        <w:rPr>
          <w:b/>
          <w:bCs/>
          <w:lang w:val="en-US"/>
        </w:rPr>
        <w:t>4</w:t>
      </w:r>
      <w:r w:rsidRPr="002A26B5">
        <w:rPr>
          <w:b/>
          <w:bCs/>
          <w:lang w:val="en-US"/>
        </w:rPr>
        <w:t xml:space="preserve">: </w:t>
      </w:r>
      <w:r w:rsidRPr="002A26B5">
        <w:rPr>
          <w:b/>
          <w:bCs/>
        </w:rPr>
        <w:t xml:space="preserve">Msg4 / MsgB </w:t>
      </w:r>
      <w:r w:rsidR="00DF317F">
        <w:rPr>
          <w:b/>
          <w:bCs/>
        </w:rPr>
        <w:t xml:space="preserve">can </w:t>
      </w:r>
      <w:r w:rsidRPr="002A26B5">
        <w:rPr>
          <w:b/>
          <w:bCs/>
        </w:rPr>
        <w:t xml:space="preserve">multiplex a ciphered downlink </w:t>
      </w:r>
      <w:r w:rsidR="00DF317F">
        <w:rPr>
          <w:b/>
          <w:bCs/>
        </w:rPr>
        <w:t>data</w:t>
      </w:r>
      <w:r w:rsidRPr="002A26B5">
        <w:rPr>
          <w:b/>
          <w:bCs/>
        </w:rPr>
        <w:t xml:space="preserve"> with the RRC Release message</w:t>
      </w:r>
      <w:r w:rsidRPr="002A26B5">
        <w:rPr>
          <w:b/>
          <w:bCs/>
          <w:lang w:val="en-US"/>
        </w:rPr>
        <w:t>.</w:t>
      </w:r>
    </w:p>
    <w:p w14:paraId="1BBD6EE4" w14:textId="7D7E032A" w:rsidR="004D0E9D" w:rsidRDefault="004D0E9D" w:rsidP="0062612A">
      <w:pPr>
        <w:rPr>
          <w:lang w:val="en-US"/>
        </w:rPr>
      </w:pPr>
      <w:r>
        <w:rPr>
          <w:lang w:val="en-US"/>
        </w:rPr>
        <w:t>It was agreed to support subsequent UL/DL data transmission for SDT:</w:t>
      </w:r>
    </w:p>
    <w:p w14:paraId="6737617D" w14:textId="77777777" w:rsidR="004D0E9D" w:rsidRPr="003C299D" w:rsidRDefault="004D0E9D" w:rsidP="004D0E9D">
      <w:pPr>
        <w:pStyle w:val="Doc-text2"/>
        <w:rPr>
          <w:i/>
          <w:iCs/>
        </w:rPr>
      </w:pPr>
    </w:p>
    <w:p w14:paraId="52A3F2EB" w14:textId="77777777" w:rsidR="004D0E9D" w:rsidRPr="003C299D" w:rsidRDefault="004D0E9D" w:rsidP="004D0E9D">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6CA87CA3" w14:textId="77777777" w:rsidR="004D0E9D" w:rsidRPr="003C299D" w:rsidRDefault="004D0E9D" w:rsidP="004D0E9D">
      <w:pPr>
        <w:pStyle w:val="Doc-text2"/>
        <w:pBdr>
          <w:top w:val="single" w:sz="4" w:space="1" w:color="auto"/>
          <w:left w:val="single" w:sz="4" w:space="4" w:color="auto"/>
          <w:bottom w:val="single" w:sz="4" w:space="1" w:color="auto"/>
          <w:right w:val="single" w:sz="4" w:space="4" w:color="auto"/>
        </w:pBdr>
      </w:pPr>
      <w:r w:rsidRPr="003C299D">
        <w:t>9</w:t>
      </w:r>
      <w:r w:rsidRPr="003C299D">
        <w:tab/>
        <w:t xml:space="preserve">UL/DL transmission following UL SDT without transitioning to RRC_CONNECTED is supported </w:t>
      </w:r>
    </w:p>
    <w:p w14:paraId="16C2578D" w14:textId="77777777" w:rsidR="004D0E9D" w:rsidRPr="003C299D" w:rsidRDefault="004D0E9D" w:rsidP="004D0E9D">
      <w:pPr>
        <w:pStyle w:val="Doc-text2"/>
        <w:pBdr>
          <w:top w:val="single" w:sz="4" w:space="1" w:color="auto"/>
          <w:left w:val="single" w:sz="4" w:space="4" w:color="auto"/>
          <w:bottom w:val="single" w:sz="4" w:space="1" w:color="auto"/>
          <w:right w:val="single" w:sz="4" w:space="4" w:color="auto"/>
        </w:pBdr>
      </w:pPr>
      <w:r w:rsidRPr="003C299D">
        <w:t>10</w:t>
      </w:r>
      <w:r w:rsidRPr="003C299D">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281DB015" w14:textId="245DA6B9" w:rsidR="004D0E9D" w:rsidRDefault="004D0E9D" w:rsidP="004D0E9D">
      <w:pPr>
        <w:pStyle w:val="Doc-text2"/>
        <w:rPr>
          <w:i/>
          <w:iCs/>
        </w:rPr>
      </w:pPr>
    </w:p>
    <w:p w14:paraId="0236A1D0" w14:textId="7D85071D" w:rsidR="006D040A" w:rsidRDefault="006D040A" w:rsidP="004D0E9D">
      <w:pPr>
        <w:rPr>
          <w:lang w:val="en-US"/>
        </w:rPr>
      </w:pPr>
      <w:r>
        <w:rPr>
          <w:lang w:val="en-US"/>
        </w:rPr>
        <w:t>Subsequent data transmission would be straight forward to perform using e</w:t>
      </w:r>
      <w:r w:rsidR="00664CD0">
        <w:rPr>
          <w:lang w:val="en-US"/>
        </w:rPr>
        <w:t>arly contention resolution</w:t>
      </w:r>
      <w:r>
        <w:rPr>
          <w:lang w:val="en-US"/>
        </w:rPr>
        <w:t xml:space="preserve"> where contention resolution is completed on </w:t>
      </w:r>
      <w:r w:rsidR="00664CD0">
        <w:rPr>
          <w:lang w:val="en-US"/>
        </w:rPr>
        <w:t>MAC level</w:t>
      </w:r>
      <w:r>
        <w:rPr>
          <w:lang w:val="en-US"/>
        </w:rPr>
        <w:t xml:space="preserve"> without RRC message. Subsequent UL/DL data could be scheduled using C-RNTI and after the data transfer is complete the UE can be sent back to RRC_INACTIVE with RRC Release message.</w:t>
      </w:r>
    </w:p>
    <w:p w14:paraId="736EEF6C" w14:textId="3D4B15CB" w:rsidR="006D040A" w:rsidRPr="006D040A" w:rsidRDefault="006D040A" w:rsidP="004D0E9D">
      <w:pPr>
        <w:rPr>
          <w:b/>
          <w:bCs/>
          <w:lang w:val="en-US"/>
        </w:rPr>
      </w:pPr>
      <w:r w:rsidRPr="006D040A">
        <w:rPr>
          <w:b/>
          <w:bCs/>
          <w:lang w:val="en-US"/>
        </w:rPr>
        <w:t xml:space="preserve">Proposal </w:t>
      </w:r>
      <w:r w:rsidR="000976B8">
        <w:rPr>
          <w:b/>
          <w:bCs/>
          <w:lang w:val="en-US"/>
        </w:rPr>
        <w:t>5</w:t>
      </w:r>
      <w:r w:rsidRPr="006D040A">
        <w:rPr>
          <w:b/>
          <w:bCs/>
          <w:lang w:val="en-US"/>
        </w:rPr>
        <w:t xml:space="preserve">: Subsequent UL/DL data transfer can be completed before the network responses with RRC message </w:t>
      </w:r>
      <w:r>
        <w:rPr>
          <w:b/>
          <w:bCs/>
          <w:lang w:val="en-US"/>
        </w:rPr>
        <w:t>to RRC Resume Request including small data</w:t>
      </w:r>
    </w:p>
    <w:p w14:paraId="4B111C5E" w14:textId="26ACB54C" w:rsidR="00FE069B" w:rsidRDefault="00FE069B" w:rsidP="004D0E9D">
      <w:pPr>
        <w:rPr>
          <w:lang w:val="en-US"/>
        </w:rPr>
      </w:pPr>
      <w:r w:rsidRPr="00FE069B">
        <w:rPr>
          <w:lang w:val="en-US"/>
        </w:rPr>
        <w:tab/>
      </w:r>
    </w:p>
    <w:p w14:paraId="003C6D93" w14:textId="000BDA4F" w:rsidR="00AE5F0B" w:rsidRDefault="00AE5F0B" w:rsidP="00AE5F0B">
      <w:pPr>
        <w:pStyle w:val="Heading2"/>
      </w:pPr>
      <w:r>
        <w:t>2.</w:t>
      </w:r>
      <w:r w:rsidR="00A47169">
        <w:t>2</w:t>
      </w:r>
      <w:r>
        <w:tab/>
      </w:r>
      <w:bookmarkStart w:id="5" w:name="_Hlk54129866"/>
      <w:r w:rsidR="003A3997">
        <w:t>SDT c</w:t>
      </w:r>
      <w:r>
        <w:t>onfiguration</w:t>
      </w:r>
      <w:r w:rsidR="003A3997">
        <w:t xml:space="preserve"> and </w:t>
      </w:r>
      <w:r w:rsidR="00CF426B">
        <w:t>scheme selection</w:t>
      </w:r>
      <w:r>
        <w:t xml:space="preserve"> </w:t>
      </w:r>
      <w:bookmarkEnd w:id="5"/>
      <w:r w:rsidR="003A3997">
        <w:t xml:space="preserve">aspects </w:t>
      </w:r>
    </w:p>
    <w:p w14:paraId="7A4C6AF2" w14:textId="5225F985" w:rsidR="00AE5F0B" w:rsidRPr="0062612A" w:rsidRDefault="00AE5F0B" w:rsidP="00AE5F0B">
      <w:pPr>
        <w:rPr>
          <w:lang w:val="en-US"/>
        </w:rPr>
      </w:pPr>
      <w:r>
        <w:t>I</w:t>
      </w:r>
      <w:r w:rsidRPr="0062612A">
        <w:t xml:space="preserve">n </w:t>
      </w:r>
      <w:r>
        <w:t>UP-</w:t>
      </w:r>
      <w:r w:rsidRPr="0062612A">
        <w:t>EDT</w:t>
      </w:r>
      <w:r>
        <w:t>,</w:t>
      </w:r>
      <w:r w:rsidRPr="0062612A">
        <w:t xml:space="preserve"> </w:t>
      </w:r>
      <w:r>
        <w:t>t</w:t>
      </w:r>
      <w:r w:rsidRPr="0062612A">
        <w:t xml:space="preserve">he network broadcasts the maximum transport block size (TBS) that can be used for Msg3 </w:t>
      </w:r>
      <w:r>
        <w:t>[</w:t>
      </w:r>
      <w:r w:rsidRPr="0062612A">
        <w:t>TS 36.321</w:t>
      </w:r>
      <w:r>
        <w:t>]</w:t>
      </w:r>
      <w:r w:rsidRPr="0062612A">
        <w:t xml:space="preserve">. </w:t>
      </w:r>
      <w:r w:rsidRPr="0062612A">
        <w:rPr>
          <w:lang w:val="en-US"/>
        </w:rPr>
        <w:t xml:space="preserve"> </w:t>
      </w:r>
    </w:p>
    <w:p w14:paraId="60AFCA3C" w14:textId="528FDC31" w:rsidR="00AE5F0B" w:rsidRDefault="00AE5F0B" w:rsidP="00AE5F0B">
      <w:pPr>
        <w:rPr>
          <w:lang w:val="en-US"/>
        </w:rPr>
      </w:pPr>
      <w:r>
        <w:rPr>
          <w:b/>
          <w:bCs/>
        </w:rPr>
        <w:t xml:space="preserve">Observation </w:t>
      </w:r>
      <w:r w:rsidR="000C675F">
        <w:rPr>
          <w:b/>
          <w:bCs/>
        </w:rPr>
        <w:t>1</w:t>
      </w:r>
      <w:r>
        <w:t>: The m</w:t>
      </w:r>
      <w:r>
        <w:rPr>
          <w:lang w:val="en-US"/>
        </w:rPr>
        <w:t xml:space="preserve">aximum allowed packet size - </w:t>
      </w:r>
      <w:r w:rsidRPr="00307BCA">
        <w:rPr>
          <w:lang w:val="en-US"/>
        </w:rPr>
        <w:t xml:space="preserve">and the uplink data size </w:t>
      </w:r>
      <w:r>
        <w:rPr>
          <w:lang w:val="en-US"/>
        </w:rPr>
        <w:t xml:space="preserve">when using RACH-based EDT has to be less </w:t>
      </w:r>
      <w:r w:rsidRPr="00307BCA">
        <w:rPr>
          <w:lang w:val="en-US"/>
        </w:rPr>
        <w:t>than or equal to a TB size indicated in the system information</w:t>
      </w:r>
      <w:r>
        <w:rPr>
          <w:lang w:val="en-US"/>
        </w:rPr>
        <w:t>.</w:t>
      </w:r>
    </w:p>
    <w:p w14:paraId="1D7EEC92" w14:textId="395AC417" w:rsidR="00C4069D" w:rsidRDefault="00C4069D" w:rsidP="00AE5F0B">
      <w:pPr>
        <w:rPr>
          <w:lang w:val="en-US"/>
        </w:rPr>
      </w:pPr>
      <w:r>
        <w:rPr>
          <w:lang w:val="en-US"/>
        </w:rPr>
        <w:t>It has been agreed use d</w:t>
      </w:r>
      <w:r w:rsidRPr="00C4069D">
        <w:rPr>
          <w:lang w:val="en-US"/>
        </w:rPr>
        <w:t>ata volume threshold for the UE to decide whether to do SDT or not</w:t>
      </w:r>
      <w:r>
        <w:rPr>
          <w:lang w:val="en-US"/>
        </w:rPr>
        <w:t>:</w:t>
      </w:r>
    </w:p>
    <w:p w14:paraId="114DCC5C" w14:textId="77777777" w:rsidR="00C4069D" w:rsidRPr="003C299D" w:rsidRDefault="00C4069D" w:rsidP="00C4069D">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705B1BF9" w14:textId="77777777" w:rsidR="00C4069D" w:rsidRPr="003C299D" w:rsidRDefault="00C4069D" w:rsidP="00C4069D">
      <w:pPr>
        <w:pStyle w:val="Doc-text2"/>
        <w:pBdr>
          <w:top w:val="single" w:sz="4" w:space="1" w:color="auto"/>
          <w:left w:val="single" w:sz="4" w:space="4" w:color="auto"/>
          <w:bottom w:val="single" w:sz="4" w:space="1" w:color="auto"/>
          <w:right w:val="single" w:sz="4" w:space="4" w:color="auto"/>
        </w:pBdr>
      </w:pPr>
      <w:r w:rsidRPr="003C299D">
        <w:t>8</w:t>
      </w:r>
      <w:r w:rsidRPr="003C299D">
        <w:tab/>
        <w:t xml:space="preserve">Data volume threshold is used for the UE to decide whether to do SDT or not.   FFS how we calculate data volume.  </w:t>
      </w:r>
    </w:p>
    <w:p w14:paraId="7C5A43BF" w14:textId="77777777" w:rsidR="00266A43" w:rsidRDefault="00266A43" w:rsidP="00AE5F0B">
      <w:pPr>
        <w:rPr>
          <w:lang w:val="en-US"/>
        </w:rPr>
      </w:pPr>
    </w:p>
    <w:p w14:paraId="671919FC" w14:textId="45172DBD" w:rsidR="00C4069D" w:rsidRDefault="00266A43" w:rsidP="00AE5F0B">
      <w:pPr>
        <w:rPr>
          <w:lang w:val="en-US"/>
        </w:rPr>
      </w:pPr>
      <w:r>
        <w:rPr>
          <w:lang w:val="en-US"/>
        </w:rPr>
        <w:t xml:space="preserve">However with above agreement it is not clear </w:t>
      </w:r>
      <w:r w:rsidR="00DB421A">
        <w:rPr>
          <w:lang w:val="en-US"/>
        </w:rPr>
        <w:t>whether data volume is for the 1</w:t>
      </w:r>
      <w:r w:rsidR="00DB421A" w:rsidRPr="00DB421A">
        <w:rPr>
          <w:vertAlign w:val="superscript"/>
          <w:lang w:val="en-US"/>
        </w:rPr>
        <w:t>st</w:t>
      </w:r>
      <w:r w:rsidR="00DB421A">
        <w:rPr>
          <w:lang w:val="en-US"/>
        </w:rPr>
        <w:t xml:space="preserve"> transmission (MSGA or MSG3) or whether it is for the whole SDT procedure including subsequent transmissions. </w:t>
      </w:r>
    </w:p>
    <w:p w14:paraId="604BD5E2" w14:textId="445C97BA" w:rsidR="00B35D71" w:rsidRDefault="00AE5F0B" w:rsidP="00AE5F0B">
      <w:r>
        <w:rPr>
          <w:lang w:val="en-US"/>
        </w:rPr>
        <w:t xml:space="preserve">According to the WID objective in </w:t>
      </w:r>
      <w:hyperlink r:id="rId22" w:history="1">
        <w:r w:rsidRPr="00564852">
          <w:rPr>
            <w:rStyle w:val="Hyperlink"/>
          </w:rPr>
          <w:t>RP-193252</w:t>
        </w:r>
      </w:hyperlink>
      <w:r w:rsidR="00002632">
        <w:rPr>
          <w:rStyle w:val="Hyperlink"/>
        </w:rPr>
        <w:t xml:space="preserve"> </w:t>
      </w:r>
      <w:r w:rsidR="00002632" w:rsidRPr="00B35D71">
        <w:t>flexible payload sizes</w:t>
      </w:r>
      <w:r w:rsidR="00002632">
        <w:t xml:space="preserve"> should be supported for MSGA and MSG3</w:t>
      </w:r>
      <w:r w:rsidR="00B35D71">
        <w:t>:</w:t>
      </w:r>
    </w:p>
    <w:p w14:paraId="14AC5683" w14:textId="77777777" w:rsidR="00B35D71" w:rsidRPr="003C299D" w:rsidRDefault="00B35D71" w:rsidP="00B35D71">
      <w:pPr>
        <w:pStyle w:val="Doc-text2"/>
        <w:rPr>
          <w:i/>
          <w:iCs/>
        </w:rPr>
      </w:pPr>
    </w:p>
    <w:p w14:paraId="1A349E9F" w14:textId="13465C57" w:rsidR="00B35D71" w:rsidRPr="003C299D" w:rsidRDefault="00B35D71" w:rsidP="00B35D71">
      <w:pPr>
        <w:pStyle w:val="Doc-text2"/>
        <w:pBdr>
          <w:top w:val="single" w:sz="4" w:space="1" w:color="auto"/>
          <w:left w:val="single" w:sz="4" w:space="4" w:color="auto"/>
          <w:bottom w:val="single" w:sz="4" w:space="1" w:color="auto"/>
          <w:right w:val="single" w:sz="4" w:space="4" w:color="auto"/>
        </w:pBdr>
      </w:pPr>
      <w:r w:rsidRPr="00B35D71">
        <w:t></w:t>
      </w:r>
      <w:r w:rsidRPr="00B35D71">
        <w:tab/>
        <w:t>Enable flexible payload sizes larger than the Rel-16 CCCH message size that is possible currently for INACTIVE state for MSGA and MSG3 to support UP data transmission in UL (actual payload size can be up to network configuration) [RAN2]</w:t>
      </w:r>
    </w:p>
    <w:p w14:paraId="50FB579D" w14:textId="77777777" w:rsidR="00B35D71" w:rsidRDefault="00B35D71" w:rsidP="00B35D71">
      <w:pPr>
        <w:pStyle w:val="Doc-text2"/>
        <w:rPr>
          <w:i/>
          <w:iCs/>
        </w:rPr>
      </w:pPr>
    </w:p>
    <w:p w14:paraId="133B4132" w14:textId="35ED6D09" w:rsidR="00B35D71" w:rsidRDefault="00002632" w:rsidP="00AE5F0B">
      <w:r>
        <w:t xml:space="preserve">We would like to confirm </w:t>
      </w:r>
      <w:r w:rsidR="00F22EBD">
        <w:t xml:space="preserve">the </w:t>
      </w:r>
      <w:r>
        <w:t>above objective.</w:t>
      </w:r>
    </w:p>
    <w:p w14:paraId="1CA3C029" w14:textId="25552C85" w:rsidR="00AE5F0B" w:rsidRPr="00CA7943" w:rsidRDefault="00AE5F0B" w:rsidP="00AE5F0B">
      <w:pPr>
        <w:rPr>
          <w:lang w:val="en-US"/>
        </w:rPr>
      </w:pPr>
      <w:r w:rsidRPr="002A26B5">
        <w:rPr>
          <w:b/>
          <w:bCs/>
          <w:lang w:val="en-US"/>
        </w:rPr>
        <w:t xml:space="preserve">Proposal </w:t>
      </w:r>
      <w:r w:rsidR="00753508">
        <w:rPr>
          <w:b/>
          <w:bCs/>
          <w:lang w:val="en-US"/>
        </w:rPr>
        <w:t>6</w:t>
      </w:r>
      <w:r w:rsidRPr="002A26B5">
        <w:rPr>
          <w:b/>
          <w:bCs/>
          <w:lang w:val="en-US"/>
        </w:rPr>
        <w:t xml:space="preserve">: </w:t>
      </w:r>
      <w:r w:rsidR="00B35D71">
        <w:rPr>
          <w:b/>
          <w:bCs/>
          <w:lang w:val="en-US"/>
        </w:rPr>
        <w:t>The n</w:t>
      </w:r>
      <w:r w:rsidRPr="002A26B5">
        <w:rPr>
          <w:b/>
          <w:bCs/>
          <w:lang w:val="en-US"/>
        </w:rPr>
        <w:t xml:space="preserve">etwork can configure the payload size for </w:t>
      </w:r>
      <w:r w:rsidR="00DB421A">
        <w:rPr>
          <w:b/>
          <w:bCs/>
          <w:lang w:val="en-US"/>
        </w:rPr>
        <w:t xml:space="preserve">CCCH message for </w:t>
      </w:r>
      <w:r w:rsidRPr="002A26B5">
        <w:rPr>
          <w:b/>
          <w:bCs/>
          <w:lang w:val="en-US"/>
        </w:rPr>
        <w:t>both MSGA and MSG3</w:t>
      </w:r>
      <w:r w:rsidRPr="00EF64B8">
        <w:rPr>
          <w:lang w:val="en-US"/>
        </w:rPr>
        <w:t>.</w:t>
      </w:r>
    </w:p>
    <w:p w14:paraId="2D9F29A2" w14:textId="3DC4CA50" w:rsidR="00AC3CE1" w:rsidRPr="007779F7" w:rsidRDefault="00AE5F0B" w:rsidP="00AC3CE1">
      <w:r>
        <w:rPr>
          <w:iCs/>
          <w:lang w:val="en-US"/>
        </w:rPr>
        <w:t>We remark that f</w:t>
      </w:r>
      <w:r w:rsidRPr="00E4601C">
        <w:rPr>
          <w:iCs/>
          <w:lang w:val="en-US"/>
        </w:rPr>
        <w:t>or</w:t>
      </w:r>
      <w:r>
        <w:rPr>
          <w:i/>
          <w:lang w:val="en-US"/>
        </w:rPr>
        <w:t xml:space="preserve"> </w:t>
      </w:r>
      <w:r>
        <w:t>2-step RACH-based SDT, the network has to provision also the PUSCH resources configurations for MsgA.</w:t>
      </w:r>
      <w:r w:rsidR="00002632">
        <w:t xml:space="preserve"> </w:t>
      </w:r>
      <w:r w:rsidR="00AC3CE1">
        <w:t xml:space="preserve">Although broadcast information may be the typical means used by the network to provision configuration for RACH-based SDT, </w:t>
      </w:r>
      <w:r w:rsidR="00002632">
        <w:t xml:space="preserve">we see no reasons to prevent </w:t>
      </w:r>
      <w:r w:rsidR="00AC3CE1">
        <w:t>UE-specific configuratio</w:t>
      </w:r>
      <w:r w:rsidR="00002632">
        <w:t>n</w:t>
      </w:r>
      <w:r w:rsidR="00AC3CE1">
        <w:t>.</w:t>
      </w:r>
    </w:p>
    <w:p w14:paraId="4E0CE71F" w14:textId="5868EB51" w:rsidR="00AC3CE1" w:rsidRPr="002A26B5" w:rsidRDefault="00AC3CE1" w:rsidP="00AC3CE1">
      <w:pPr>
        <w:rPr>
          <w:b/>
          <w:bCs/>
        </w:rPr>
      </w:pPr>
      <w:r w:rsidRPr="002A26B5">
        <w:rPr>
          <w:b/>
          <w:bCs/>
        </w:rPr>
        <w:t xml:space="preserve">Proposal </w:t>
      </w:r>
      <w:r w:rsidR="00753508">
        <w:rPr>
          <w:b/>
          <w:bCs/>
        </w:rPr>
        <w:t>7</w:t>
      </w:r>
      <w:r w:rsidRPr="002A26B5">
        <w:rPr>
          <w:b/>
          <w:bCs/>
        </w:rPr>
        <w:t xml:space="preserve">: </w:t>
      </w:r>
      <w:r w:rsidR="00002632">
        <w:rPr>
          <w:b/>
          <w:bCs/>
        </w:rPr>
        <w:t>Both d</w:t>
      </w:r>
      <w:r w:rsidR="00857767" w:rsidRPr="002A26B5">
        <w:rPr>
          <w:b/>
          <w:bCs/>
        </w:rPr>
        <w:t xml:space="preserve">edicated </w:t>
      </w:r>
      <w:r w:rsidR="00002632">
        <w:rPr>
          <w:b/>
          <w:bCs/>
        </w:rPr>
        <w:t xml:space="preserve">and broadcast </w:t>
      </w:r>
      <w:r w:rsidRPr="002A26B5">
        <w:rPr>
          <w:b/>
          <w:bCs/>
        </w:rPr>
        <w:t xml:space="preserve">RACH configuration </w:t>
      </w:r>
      <w:r w:rsidR="00002632">
        <w:rPr>
          <w:b/>
          <w:bCs/>
        </w:rPr>
        <w:t>is</w:t>
      </w:r>
      <w:r w:rsidRPr="002A26B5">
        <w:rPr>
          <w:b/>
          <w:bCs/>
        </w:rPr>
        <w:t xml:space="preserve"> supported for SDT.</w:t>
      </w:r>
    </w:p>
    <w:p w14:paraId="3942A1AE" w14:textId="483ADC45" w:rsidR="009B576A" w:rsidRDefault="009B576A" w:rsidP="00AC3CE1">
      <w:r>
        <w:t xml:space="preserve">Furthermore, the network may benefit from </w:t>
      </w:r>
      <w:r w:rsidRPr="009B576A">
        <w:t>suspending</w:t>
      </w:r>
      <w:r>
        <w:t xml:space="preserve"> the use of SDT temporarily e.g. when facing sudden congestion and requiring the resources for other services.</w:t>
      </w:r>
    </w:p>
    <w:p w14:paraId="6A8C6277" w14:textId="5D00153A" w:rsidR="003A3997" w:rsidRPr="007521E1" w:rsidRDefault="009B576A" w:rsidP="00AC3CE1">
      <w:pPr>
        <w:rPr>
          <w:b/>
          <w:bCs/>
        </w:rPr>
      </w:pPr>
      <w:r w:rsidRPr="002A26B5">
        <w:rPr>
          <w:b/>
          <w:bCs/>
        </w:rPr>
        <w:t xml:space="preserve">Proposal </w:t>
      </w:r>
      <w:r w:rsidR="00753508">
        <w:rPr>
          <w:b/>
          <w:bCs/>
        </w:rPr>
        <w:t>8</w:t>
      </w:r>
      <w:r w:rsidRPr="002A26B5">
        <w:rPr>
          <w:b/>
          <w:bCs/>
        </w:rPr>
        <w:t xml:space="preserve">: RAN2 to discuss </w:t>
      </w:r>
      <w:r w:rsidR="003E215D">
        <w:rPr>
          <w:b/>
          <w:bCs/>
        </w:rPr>
        <w:t>how</w:t>
      </w:r>
      <w:r w:rsidRPr="002A26B5">
        <w:rPr>
          <w:b/>
          <w:bCs/>
        </w:rPr>
        <w:t xml:space="preserve"> to suspend temporarily the use of SDT.</w:t>
      </w:r>
    </w:p>
    <w:p w14:paraId="345E21BB" w14:textId="47F3AEF9" w:rsidR="001C3EB7" w:rsidRDefault="001C3EB7" w:rsidP="00AC3CE1">
      <w:r w:rsidRPr="001C3EB7">
        <w:t>It was agreed that</w:t>
      </w:r>
      <w:r>
        <w:t xml:space="preserve"> network can configure DRBs for SDT:</w:t>
      </w:r>
    </w:p>
    <w:p w14:paraId="2012EE0E" w14:textId="77777777" w:rsidR="001C3EB7" w:rsidRPr="003C299D" w:rsidRDefault="001C3EB7" w:rsidP="001C3EB7">
      <w:pPr>
        <w:pStyle w:val="Doc-text2"/>
        <w:rPr>
          <w:i/>
          <w:iCs/>
        </w:rPr>
      </w:pPr>
    </w:p>
    <w:p w14:paraId="11435140" w14:textId="77777777" w:rsidR="001C3EB7" w:rsidRPr="003C299D" w:rsidRDefault="001C3EB7" w:rsidP="001C3EB7">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212BC188" w14:textId="2871CFF8" w:rsidR="001C3EB7" w:rsidRPr="003C299D" w:rsidRDefault="001C3EB7" w:rsidP="001C3EB7">
      <w:pPr>
        <w:pStyle w:val="Doc-text2"/>
        <w:pBdr>
          <w:top w:val="single" w:sz="4" w:space="1" w:color="auto"/>
          <w:left w:val="single" w:sz="4" w:space="4" w:color="auto"/>
          <w:bottom w:val="single" w:sz="4" w:space="1" w:color="auto"/>
          <w:right w:val="single" w:sz="4" w:space="4" w:color="auto"/>
        </w:pBdr>
      </w:pPr>
      <w:r w:rsidRPr="003C299D">
        <w:t>7</w:t>
      </w:r>
      <w:r w:rsidRPr="003C299D">
        <w:tab/>
        <w:t xml:space="preserve">Small data transmission is configured by the network on a per DRB basis </w:t>
      </w:r>
    </w:p>
    <w:p w14:paraId="4326F1DD" w14:textId="77777777" w:rsidR="005C4453" w:rsidRDefault="005C4453" w:rsidP="00AC3CE1"/>
    <w:p w14:paraId="6F898CB1" w14:textId="658F01CE" w:rsidR="001C3EB7" w:rsidRDefault="00596459" w:rsidP="00AC3CE1">
      <w:r>
        <w:lastRenderedPageBreak/>
        <w:t xml:space="preserve">It would be useful to allow transmission of signalling messages via SDT procedure to avoid RRC connection establishment which requires extensive signalling between the UE and network and it also may consume UE battery. </w:t>
      </w:r>
      <w:r w:rsidR="00DC5427">
        <w:t xml:space="preserve">For example, NAS signaling (e.g. tracking area update), UE assistance information, MDT reporting etc could be performed via SDT procedure. </w:t>
      </w:r>
      <w:r w:rsidR="00C160CE">
        <w:t>The following working assumption was made in RAN2#113 meeting:</w:t>
      </w:r>
    </w:p>
    <w:p w14:paraId="229FE990" w14:textId="77777777" w:rsidR="00C160CE" w:rsidRDefault="00C160CE" w:rsidP="00C160CE">
      <w:pPr>
        <w:pStyle w:val="Doc-text2"/>
      </w:pPr>
    </w:p>
    <w:p w14:paraId="6BD0086F" w14:textId="77777777" w:rsidR="00C160CE" w:rsidRDefault="00C160CE" w:rsidP="00C160CE">
      <w:pPr>
        <w:pStyle w:val="Doc-text2"/>
      </w:pPr>
    </w:p>
    <w:p w14:paraId="26E08356" w14:textId="77777777" w:rsidR="00C160CE" w:rsidRPr="003576C9" w:rsidRDefault="00C160CE" w:rsidP="00C160CE">
      <w:pPr>
        <w:pStyle w:val="Doc-text2"/>
        <w:pBdr>
          <w:top w:val="single" w:sz="4" w:space="1" w:color="auto"/>
          <w:left w:val="single" w:sz="4" w:space="4" w:color="auto"/>
          <w:bottom w:val="single" w:sz="4" w:space="1" w:color="auto"/>
          <w:right w:val="single" w:sz="4" w:space="4" w:color="auto"/>
        </w:pBdr>
        <w:rPr>
          <w:b/>
          <w:bCs/>
          <w:i/>
          <w:iCs/>
          <w:u w:val="single"/>
        </w:rPr>
      </w:pPr>
      <w:r w:rsidRPr="003576C9">
        <w:rPr>
          <w:b/>
          <w:bCs/>
          <w:i/>
          <w:iCs/>
          <w:u w:val="single"/>
        </w:rPr>
        <w:t xml:space="preserve">Working assumption </w:t>
      </w:r>
    </w:p>
    <w:p w14:paraId="0E1B3B35" w14:textId="77777777" w:rsidR="00C160CE" w:rsidRPr="006C6C07" w:rsidRDefault="00C160CE" w:rsidP="00C160CE">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rPr>
          <w:i/>
          <w:iCs/>
        </w:rPr>
      </w:pPr>
      <w:r w:rsidRPr="006C6C07">
        <w:rPr>
          <w:i/>
          <w:iCs/>
        </w:rPr>
        <w:t>Support configuring of SRB1 and SRB2 for small data transmission for carrying RRC and NAS messages.</w:t>
      </w:r>
    </w:p>
    <w:p w14:paraId="45BB263D" w14:textId="77777777" w:rsidR="00C160CE" w:rsidRDefault="00C160CE" w:rsidP="00C160CE">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rPr>
          <w:i/>
          <w:iCs/>
        </w:rPr>
      </w:pPr>
      <w:r w:rsidRPr="006C6C07">
        <w:rPr>
          <w:i/>
          <w:iCs/>
        </w:rPr>
        <w:t>Upon initiating RRC Resume procedure for SDT initiation (i.e. for first SDT transmission), the UE shall also resume SRB2 that is configured for SDT, in addition to SDT DRBs that are configured for SDT</w:t>
      </w:r>
    </w:p>
    <w:p w14:paraId="37B6BEAA" w14:textId="77777777" w:rsidR="00C160CE" w:rsidRPr="006C6C07" w:rsidRDefault="00C160CE" w:rsidP="00C160CE">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rPr>
          <w:i/>
          <w:iCs/>
        </w:rPr>
      </w:pPr>
      <w:r>
        <w:rPr>
          <w:i/>
          <w:iCs/>
        </w:rPr>
        <w:t>RAN2 recommends to include SRB2 in WID</w:t>
      </w:r>
    </w:p>
    <w:p w14:paraId="78BD44B0" w14:textId="77777777" w:rsidR="00C160CE" w:rsidRDefault="00C160CE" w:rsidP="00C160CE">
      <w:pPr>
        <w:pStyle w:val="Doc-text2"/>
      </w:pPr>
    </w:p>
    <w:p w14:paraId="10011857" w14:textId="4321202C" w:rsidR="00C160CE" w:rsidRDefault="00C160CE" w:rsidP="00C160CE">
      <w:pPr>
        <w:pStyle w:val="Doc-text2"/>
        <w:ind w:left="0" w:firstLine="0"/>
      </w:pPr>
      <w:r>
        <w:t>RAN2 working assumption was discussed in RAN and the following update was agreed in in the work item:</w:t>
      </w:r>
    </w:p>
    <w:p w14:paraId="68DC04A2" w14:textId="77777777" w:rsidR="00C160CE" w:rsidRPr="00082D2C" w:rsidRDefault="00C160CE" w:rsidP="00C160CE">
      <w:pPr>
        <w:pStyle w:val="Doc-text2"/>
        <w:ind w:left="0" w:firstLine="0"/>
      </w:pPr>
    </w:p>
    <w:p w14:paraId="139745E7" w14:textId="77777777" w:rsidR="00155851" w:rsidRPr="003C299D" w:rsidRDefault="00155851" w:rsidP="00155851">
      <w:pPr>
        <w:pStyle w:val="Doc-text2"/>
        <w:rPr>
          <w:i/>
          <w:iCs/>
        </w:rPr>
      </w:pPr>
    </w:p>
    <w:p w14:paraId="0D41E045" w14:textId="6745B21E" w:rsidR="00155851" w:rsidRPr="00155851" w:rsidRDefault="00155851" w:rsidP="00155851">
      <w:pPr>
        <w:pStyle w:val="Doc-text2"/>
        <w:pBdr>
          <w:top w:val="single" w:sz="4" w:space="1" w:color="auto"/>
          <w:left w:val="single" w:sz="4" w:space="4" w:color="auto"/>
          <w:bottom w:val="single" w:sz="4" w:space="1" w:color="auto"/>
          <w:right w:val="single" w:sz="4" w:space="4" w:color="auto"/>
        </w:pBdr>
      </w:pPr>
      <w:r w:rsidRPr="00155851">
        <w:rPr>
          <w:i/>
          <w:iCs/>
        </w:rPr>
        <w:t xml:space="preserve">Specify configuring of SRB1 and SRB2 for small data transmission in RRC_INACTIVE state by reusing the framework for DRBs. </w:t>
      </w:r>
      <w:r w:rsidRPr="00155851">
        <w:t xml:space="preserve"> </w:t>
      </w:r>
    </w:p>
    <w:p w14:paraId="3DC8576C" w14:textId="77777777" w:rsidR="00155851" w:rsidRDefault="00155851" w:rsidP="00AC3CE1"/>
    <w:p w14:paraId="27CEAB7E" w14:textId="70CE91EC" w:rsidR="00155851" w:rsidRDefault="00155851" w:rsidP="00AC3CE1">
      <w:r>
        <w:t>We propose to confirm the RAN2 working assumption:</w:t>
      </w:r>
    </w:p>
    <w:p w14:paraId="3FC0EBD7" w14:textId="388A67A8" w:rsidR="00155851" w:rsidRDefault="00155851" w:rsidP="00AC3CE1">
      <w:pPr>
        <w:rPr>
          <w:b/>
          <w:bCs/>
        </w:rPr>
      </w:pPr>
      <w:r w:rsidRPr="00A321EE">
        <w:rPr>
          <w:b/>
          <w:bCs/>
        </w:rPr>
        <w:t xml:space="preserve">Proposal </w:t>
      </w:r>
      <w:r w:rsidR="00753508">
        <w:rPr>
          <w:b/>
          <w:bCs/>
        </w:rPr>
        <w:t>9</w:t>
      </w:r>
      <w:r w:rsidRPr="00A321EE">
        <w:rPr>
          <w:b/>
          <w:bCs/>
        </w:rPr>
        <w:t xml:space="preserve">: </w:t>
      </w:r>
      <w:r w:rsidR="00A321EE" w:rsidRPr="00A321EE">
        <w:rPr>
          <w:b/>
          <w:bCs/>
        </w:rPr>
        <w:t>Support configuring of SRB1 and SRB2 for small data transmission for carrying RRC and NAS messages</w:t>
      </w:r>
    </w:p>
    <w:p w14:paraId="3AB07310" w14:textId="093382B4" w:rsidR="00A321EE" w:rsidRPr="00A321EE" w:rsidRDefault="00A321EE" w:rsidP="00AC3CE1">
      <w:pPr>
        <w:rPr>
          <w:b/>
          <w:bCs/>
        </w:rPr>
      </w:pPr>
      <w:r>
        <w:rPr>
          <w:b/>
          <w:bCs/>
        </w:rPr>
        <w:t>Proposal 1</w:t>
      </w:r>
      <w:r w:rsidR="00753508">
        <w:rPr>
          <w:b/>
          <w:bCs/>
        </w:rPr>
        <w:t>0</w:t>
      </w:r>
      <w:r>
        <w:rPr>
          <w:b/>
          <w:bCs/>
        </w:rPr>
        <w:t xml:space="preserve">: </w:t>
      </w:r>
      <w:r w:rsidRPr="00A321EE">
        <w:rPr>
          <w:b/>
          <w:bCs/>
        </w:rPr>
        <w:t>Upon initiating RRC Resume procedure for SDT initiation (i.e. for first SDT transmission), the UE shall also resume SRB2</w:t>
      </w:r>
      <w:r w:rsidR="00342CB6">
        <w:rPr>
          <w:b/>
          <w:bCs/>
        </w:rPr>
        <w:t>,</w:t>
      </w:r>
      <w:r w:rsidRPr="00A321EE">
        <w:rPr>
          <w:b/>
          <w:bCs/>
        </w:rPr>
        <w:t xml:space="preserve"> </w:t>
      </w:r>
      <w:r w:rsidR="00342CB6">
        <w:rPr>
          <w:b/>
          <w:bCs/>
        </w:rPr>
        <w:t>if</w:t>
      </w:r>
      <w:r w:rsidRPr="00A321EE">
        <w:rPr>
          <w:b/>
          <w:bCs/>
        </w:rPr>
        <w:t xml:space="preserve"> configured for SDT, in addition to SDT DRBs that are configured for SDT</w:t>
      </w:r>
    </w:p>
    <w:p w14:paraId="791D79EB" w14:textId="0DAA4041" w:rsidR="005F6D36" w:rsidRDefault="00164048" w:rsidP="005F6D36">
      <w:r>
        <w:t>In NR, t</w:t>
      </w:r>
      <w:r w:rsidR="005F6D36">
        <w:t xml:space="preserve">he mapping of QoS flows onto radio bearers in the UE is controlled by mapping rules configured by the gNB. The mapping rules are configured either explicitly via RRC signalling or implicitly via Reflective QoS (RQoS). With RQoS, the UE derives the uplink mapping rule from the information available in the downlink. All QoS flows for which no mapping rules are configured are mapped by default on a default DRB. As a result, the 5G QoS framework allows a mode of operation where: 1) a default DRB with radio protocols configured to provide a default QoS is used to carry the bulk of traffic; and 2) only QoS flows with specific requirements are dynamically (re)mapped onto dedicated DRBs as they appear, without involving 5GC. This greatly minimises the amount of signalling required and reduces control plane latency. </w:t>
      </w:r>
      <w:r>
        <w:t>Furthermore, b</w:t>
      </w:r>
      <w:r w:rsidR="005F6D36">
        <w:t>ecause the number of QoS flows to deal with is typically very high, configuring mapping rules in advance is seldom possible. With RQoS, the allocation of radio bearers is still controlled by the network, but control plane signalling is limited to the setup of the bearers: explicit signalling of the mapping rules for the plethora of flows is not required.</w:t>
      </w:r>
    </w:p>
    <w:p w14:paraId="10F64431" w14:textId="70C7A4E1" w:rsidR="005F6D36" w:rsidRDefault="005F6D36" w:rsidP="00AC3CE1">
      <w:r w:rsidRPr="005F6D36">
        <w:t>Since SDT can suffer data losses (e.g. cell re-selection after SDT transmission), it is not desirable to use SDT for flows that cannot afford data losses. Even if one bearer was configured for SDT, the mapping of QoS flows onto that bearer would still need to be carefully controlled. Unfortunately, as explained above, the number of QoS flows to deal with is typically very high and pre-configuring the mapping is seldom possible. In other words, the agreed DRB level configuration for SDT is not sufficient to efficiently deal with the NR QoS framework which relies on QoS flows.</w:t>
      </w:r>
      <w:r w:rsidR="00692BAB">
        <w:t xml:space="preserve"> Therefore, we propose:</w:t>
      </w:r>
    </w:p>
    <w:p w14:paraId="4013608E" w14:textId="1B9E97E8" w:rsidR="00692BAB" w:rsidRPr="00692BAB" w:rsidRDefault="00692BAB" w:rsidP="00AC3CE1">
      <w:pPr>
        <w:rPr>
          <w:b/>
          <w:bCs/>
        </w:rPr>
      </w:pPr>
      <w:r w:rsidRPr="00692BAB">
        <w:rPr>
          <w:b/>
          <w:bCs/>
        </w:rPr>
        <w:t xml:space="preserve">Proposal </w:t>
      </w:r>
      <w:r w:rsidR="002D0877">
        <w:rPr>
          <w:b/>
          <w:bCs/>
        </w:rPr>
        <w:t>1</w:t>
      </w:r>
      <w:r w:rsidR="00753508">
        <w:rPr>
          <w:b/>
          <w:bCs/>
        </w:rPr>
        <w:t>1</w:t>
      </w:r>
      <w:r w:rsidRPr="00692BAB">
        <w:rPr>
          <w:b/>
          <w:bCs/>
        </w:rPr>
        <w:t xml:space="preserve">: Small data transmission </w:t>
      </w:r>
      <w:r w:rsidR="00AF64A6">
        <w:rPr>
          <w:b/>
          <w:bCs/>
        </w:rPr>
        <w:t xml:space="preserve">can be further </w:t>
      </w:r>
      <w:r w:rsidRPr="00692BAB">
        <w:rPr>
          <w:b/>
          <w:bCs/>
        </w:rPr>
        <w:t>configured by the network on a per QoS flow ID (QFI) basis</w:t>
      </w:r>
      <w:r w:rsidR="00AF64A6">
        <w:rPr>
          <w:b/>
          <w:bCs/>
        </w:rPr>
        <w:t>.</w:t>
      </w:r>
    </w:p>
    <w:p w14:paraId="39AC195F" w14:textId="2C3A618A" w:rsidR="005F6D36" w:rsidRDefault="00A254A3" w:rsidP="00AC3CE1">
      <w:r>
        <w:t>I</w:t>
      </w:r>
      <w:r w:rsidR="007F5EED">
        <w:t>t was left FFS whether to use additional SDT specific RSRP threshold</w:t>
      </w:r>
      <w:r>
        <w:t>:</w:t>
      </w:r>
    </w:p>
    <w:p w14:paraId="6CD85064" w14:textId="77777777" w:rsidR="007F5EED" w:rsidRPr="003C299D" w:rsidRDefault="007F5EED" w:rsidP="007F5EED">
      <w:pPr>
        <w:pStyle w:val="Doc-text2"/>
        <w:rPr>
          <w:i/>
          <w:iCs/>
        </w:rPr>
      </w:pPr>
    </w:p>
    <w:p w14:paraId="4190F8AD" w14:textId="77777777" w:rsidR="007F5EED" w:rsidRPr="003C299D" w:rsidRDefault="007F5EED" w:rsidP="007F5EED">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1199B4E0" w14:textId="77777777" w:rsidR="007F5EED" w:rsidRPr="003C299D" w:rsidRDefault="007F5EED" w:rsidP="007F5EED">
      <w:pPr>
        <w:pStyle w:val="Doc-text2"/>
        <w:pBdr>
          <w:top w:val="single" w:sz="4" w:space="1" w:color="auto"/>
          <w:left w:val="single" w:sz="4" w:space="4" w:color="auto"/>
          <w:bottom w:val="single" w:sz="4" w:space="1" w:color="auto"/>
          <w:right w:val="single" w:sz="4" w:space="4" w:color="auto"/>
        </w:pBdr>
      </w:pPr>
      <w:r w:rsidRPr="003C299D">
        <w:tab/>
        <w:t>FFS if an “additional SDT specific” RSRP threshold is further used to determine whether the UE should do SDT</w:t>
      </w:r>
    </w:p>
    <w:p w14:paraId="3ABB9B45" w14:textId="77777777" w:rsidR="007F5EED" w:rsidRPr="003C299D" w:rsidRDefault="007F5EED" w:rsidP="007F5EED">
      <w:pPr>
        <w:pStyle w:val="Doc-text2"/>
        <w:rPr>
          <w:i/>
          <w:iCs/>
        </w:rPr>
      </w:pPr>
    </w:p>
    <w:p w14:paraId="4A40786A" w14:textId="40FA7572" w:rsidR="007F5EED" w:rsidRDefault="00A254A3" w:rsidP="007F5EED">
      <w:r>
        <w:t>We think that it would be beneficial to avoid the transmission of the SDT data on the cell-edge, because handling all the error cases and data forwarding can be very complex. Therefore, we propose to use already existing “not-at-cell-edge threshold for SDT.</w:t>
      </w:r>
    </w:p>
    <w:p w14:paraId="0A7E00AC" w14:textId="78F44166" w:rsidR="00A254A3" w:rsidRPr="00A254A3" w:rsidRDefault="00A254A3" w:rsidP="007F5EED">
      <w:pPr>
        <w:rPr>
          <w:b/>
          <w:bCs/>
        </w:rPr>
      </w:pPr>
      <w:r w:rsidRPr="00A254A3">
        <w:rPr>
          <w:b/>
          <w:bCs/>
        </w:rPr>
        <w:lastRenderedPageBreak/>
        <w:t>Proposal 1</w:t>
      </w:r>
      <w:r w:rsidR="00753508">
        <w:rPr>
          <w:b/>
          <w:bCs/>
        </w:rPr>
        <w:t>2</w:t>
      </w:r>
      <w:r w:rsidRPr="00A254A3">
        <w:rPr>
          <w:b/>
          <w:bCs/>
        </w:rPr>
        <w:t>: “Not at cell edge” threshold specified for</w:t>
      </w:r>
      <w:r w:rsidR="00504839">
        <w:rPr>
          <w:b/>
          <w:bCs/>
        </w:rPr>
        <w:t xml:space="preserve"> REL16</w:t>
      </w:r>
      <w:r w:rsidRPr="00A254A3">
        <w:rPr>
          <w:b/>
          <w:bCs/>
        </w:rPr>
        <w:t xml:space="preserve"> UE power saving is re-used for SDT purpose i.e. the UE is not allowed to use SDT at cell edge</w:t>
      </w:r>
    </w:p>
    <w:p w14:paraId="42CB803B" w14:textId="77777777" w:rsidR="00504839" w:rsidRPr="007F5EED" w:rsidRDefault="00504839" w:rsidP="00AC3CE1"/>
    <w:p w14:paraId="5FF2457F" w14:textId="11A84A2C" w:rsidR="00A209D6" w:rsidRPr="006E13D1" w:rsidRDefault="00A209D6" w:rsidP="00A209D6">
      <w:pPr>
        <w:pStyle w:val="Heading1"/>
      </w:pPr>
      <w:r w:rsidRPr="006E13D1">
        <w:t>4</w:t>
      </w:r>
      <w:r w:rsidRPr="006E13D1">
        <w:tab/>
      </w:r>
      <w:r w:rsidR="008C3057">
        <w:t>Conclusion</w:t>
      </w:r>
    </w:p>
    <w:p w14:paraId="6C60FFDC" w14:textId="6534FE30" w:rsidR="00A209D6" w:rsidRDefault="00224634" w:rsidP="00A209D6">
      <w:r>
        <w:t xml:space="preserve">The following </w:t>
      </w:r>
      <w:r w:rsidR="00016557">
        <w:t>proposals</w:t>
      </w:r>
      <w:r>
        <w:t xml:space="preserve"> have been made:</w:t>
      </w:r>
    </w:p>
    <w:p w14:paraId="587CE296" w14:textId="77777777" w:rsidR="00753508" w:rsidRPr="002A26B5" w:rsidRDefault="00753508" w:rsidP="00753508">
      <w:pPr>
        <w:rPr>
          <w:b/>
          <w:bCs/>
          <w:lang w:val="en-US"/>
        </w:rPr>
      </w:pPr>
      <w:r>
        <w:rPr>
          <w:b/>
          <w:bCs/>
          <w:lang w:val="en-US"/>
        </w:rPr>
        <w:t>Proposal 1: Network can respond with RRC Setup to RRC Resume Request for SDT</w:t>
      </w:r>
    </w:p>
    <w:p w14:paraId="4A0D7C58" w14:textId="77777777" w:rsidR="00753508" w:rsidRDefault="00753508" w:rsidP="00753508">
      <w:pPr>
        <w:rPr>
          <w:b/>
          <w:bCs/>
          <w:lang w:val="en-US"/>
        </w:rPr>
      </w:pPr>
      <w:r>
        <w:rPr>
          <w:b/>
          <w:bCs/>
          <w:lang w:val="en-US"/>
        </w:rPr>
        <w:t>Proposal 2: Network can respond with RRC Release with or without suspend config to RRC Resume Request for SDT</w:t>
      </w:r>
    </w:p>
    <w:p w14:paraId="02680C5F" w14:textId="77777777" w:rsidR="00753508" w:rsidRPr="002A26B5" w:rsidRDefault="00753508" w:rsidP="00753508">
      <w:pPr>
        <w:rPr>
          <w:b/>
          <w:bCs/>
          <w:lang w:val="en-US"/>
        </w:rPr>
      </w:pPr>
      <w:r>
        <w:rPr>
          <w:b/>
          <w:bCs/>
          <w:lang w:val="en-US"/>
        </w:rPr>
        <w:t>Proposal 3: Network can respond with RRC Reject to RRC Resume Request for SDT</w:t>
      </w:r>
    </w:p>
    <w:p w14:paraId="1B70612F" w14:textId="77777777" w:rsidR="00753508" w:rsidRPr="002A26B5" w:rsidRDefault="00753508" w:rsidP="00753508">
      <w:pPr>
        <w:rPr>
          <w:b/>
          <w:bCs/>
          <w:lang w:val="en-US"/>
        </w:rPr>
      </w:pPr>
      <w:r w:rsidRPr="002A26B5">
        <w:rPr>
          <w:b/>
          <w:bCs/>
          <w:lang w:val="en-US"/>
        </w:rPr>
        <w:t xml:space="preserve">Proposal </w:t>
      </w:r>
      <w:r>
        <w:rPr>
          <w:b/>
          <w:bCs/>
          <w:lang w:val="en-US"/>
        </w:rPr>
        <w:t>4</w:t>
      </w:r>
      <w:r w:rsidRPr="002A26B5">
        <w:rPr>
          <w:b/>
          <w:bCs/>
          <w:lang w:val="en-US"/>
        </w:rPr>
        <w:t xml:space="preserve">: </w:t>
      </w:r>
      <w:r w:rsidRPr="002A26B5">
        <w:rPr>
          <w:b/>
          <w:bCs/>
        </w:rPr>
        <w:t xml:space="preserve">Msg4 / MsgB </w:t>
      </w:r>
      <w:r>
        <w:rPr>
          <w:b/>
          <w:bCs/>
        </w:rPr>
        <w:t xml:space="preserve">can </w:t>
      </w:r>
      <w:r w:rsidRPr="002A26B5">
        <w:rPr>
          <w:b/>
          <w:bCs/>
        </w:rPr>
        <w:t xml:space="preserve">multiplex a ciphered downlink </w:t>
      </w:r>
      <w:r>
        <w:rPr>
          <w:b/>
          <w:bCs/>
        </w:rPr>
        <w:t>data</w:t>
      </w:r>
      <w:r w:rsidRPr="002A26B5">
        <w:rPr>
          <w:b/>
          <w:bCs/>
        </w:rPr>
        <w:t xml:space="preserve"> with the RRC Release message</w:t>
      </w:r>
      <w:r w:rsidRPr="002A26B5">
        <w:rPr>
          <w:b/>
          <w:bCs/>
          <w:lang w:val="en-US"/>
        </w:rPr>
        <w:t>.</w:t>
      </w:r>
    </w:p>
    <w:p w14:paraId="4A764A5C" w14:textId="77777777" w:rsidR="00753508" w:rsidRPr="006D040A" w:rsidRDefault="00753508" w:rsidP="00753508">
      <w:pPr>
        <w:rPr>
          <w:b/>
          <w:bCs/>
          <w:lang w:val="en-US"/>
        </w:rPr>
      </w:pPr>
      <w:r w:rsidRPr="006D040A">
        <w:rPr>
          <w:b/>
          <w:bCs/>
          <w:lang w:val="en-US"/>
        </w:rPr>
        <w:t xml:space="preserve">Proposal </w:t>
      </w:r>
      <w:r>
        <w:rPr>
          <w:b/>
          <w:bCs/>
          <w:lang w:val="en-US"/>
        </w:rPr>
        <w:t>5</w:t>
      </w:r>
      <w:r w:rsidRPr="006D040A">
        <w:rPr>
          <w:b/>
          <w:bCs/>
          <w:lang w:val="en-US"/>
        </w:rPr>
        <w:t xml:space="preserve">: Subsequent UL/DL data transfer can be completed before the network responses with RRC message </w:t>
      </w:r>
      <w:r>
        <w:rPr>
          <w:b/>
          <w:bCs/>
          <w:lang w:val="en-US"/>
        </w:rPr>
        <w:t>to RRC Resume Request including small data</w:t>
      </w:r>
    </w:p>
    <w:p w14:paraId="7F680829" w14:textId="2301D8D5" w:rsidR="00753508" w:rsidRPr="00CA7943" w:rsidRDefault="00753508" w:rsidP="00753508">
      <w:pPr>
        <w:rPr>
          <w:lang w:val="en-US"/>
        </w:rPr>
      </w:pPr>
      <w:r w:rsidRPr="002A26B5">
        <w:rPr>
          <w:b/>
          <w:bCs/>
          <w:lang w:val="en-US"/>
        </w:rPr>
        <w:t xml:space="preserve">Proposal </w:t>
      </w:r>
      <w:r>
        <w:rPr>
          <w:b/>
          <w:bCs/>
          <w:lang w:val="en-US"/>
        </w:rPr>
        <w:t>6</w:t>
      </w:r>
      <w:r w:rsidRPr="002A26B5">
        <w:rPr>
          <w:b/>
          <w:bCs/>
          <w:lang w:val="en-US"/>
        </w:rPr>
        <w:t xml:space="preserve">: </w:t>
      </w:r>
      <w:r>
        <w:rPr>
          <w:b/>
          <w:bCs/>
          <w:lang w:val="en-US"/>
        </w:rPr>
        <w:t>The n</w:t>
      </w:r>
      <w:r w:rsidRPr="002A26B5">
        <w:rPr>
          <w:b/>
          <w:bCs/>
          <w:lang w:val="en-US"/>
        </w:rPr>
        <w:t xml:space="preserve">etwork can configure the payload size for </w:t>
      </w:r>
      <w:r>
        <w:rPr>
          <w:b/>
          <w:bCs/>
          <w:lang w:val="en-US"/>
        </w:rPr>
        <w:t xml:space="preserve">CCCH message for </w:t>
      </w:r>
      <w:r w:rsidRPr="002A26B5">
        <w:rPr>
          <w:b/>
          <w:bCs/>
          <w:lang w:val="en-US"/>
        </w:rPr>
        <w:t>both MSGA and MSG3</w:t>
      </w:r>
      <w:r w:rsidRPr="00EF64B8">
        <w:rPr>
          <w:lang w:val="en-US"/>
        </w:rPr>
        <w:t>.</w:t>
      </w:r>
    </w:p>
    <w:p w14:paraId="147B880A" w14:textId="77777777" w:rsidR="00753508" w:rsidRPr="002A26B5" w:rsidRDefault="00753508" w:rsidP="00753508">
      <w:pPr>
        <w:rPr>
          <w:b/>
          <w:bCs/>
        </w:rPr>
      </w:pPr>
      <w:r w:rsidRPr="002A26B5">
        <w:rPr>
          <w:b/>
          <w:bCs/>
        </w:rPr>
        <w:t xml:space="preserve">Proposal </w:t>
      </w:r>
      <w:r>
        <w:rPr>
          <w:b/>
          <w:bCs/>
        </w:rPr>
        <w:t>7</w:t>
      </w:r>
      <w:r w:rsidRPr="002A26B5">
        <w:rPr>
          <w:b/>
          <w:bCs/>
        </w:rPr>
        <w:t xml:space="preserve">: </w:t>
      </w:r>
      <w:r>
        <w:rPr>
          <w:b/>
          <w:bCs/>
        </w:rPr>
        <w:t>Both d</w:t>
      </w:r>
      <w:r w:rsidRPr="002A26B5">
        <w:rPr>
          <w:b/>
          <w:bCs/>
        </w:rPr>
        <w:t xml:space="preserve">edicated </w:t>
      </w:r>
      <w:r>
        <w:rPr>
          <w:b/>
          <w:bCs/>
        </w:rPr>
        <w:t xml:space="preserve">and broadcast </w:t>
      </w:r>
      <w:r w:rsidRPr="002A26B5">
        <w:rPr>
          <w:b/>
          <w:bCs/>
        </w:rPr>
        <w:t xml:space="preserve">RACH configuration </w:t>
      </w:r>
      <w:r>
        <w:rPr>
          <w:b/>
          <w:bCs/>
        </w:rPr>
        <w:t>is</w:t>
      </w:r>
      <w:r w:rsidRPr="002A26B5">
        <w:rPr>
          <w:b/>
          <w:bCs/>
        </w:rPr>
        <w:t xml:space="preserve"> supported for SDT.</w:t>
      </w:r>
    </w:p>
    <w:p w14:paraId="4D61D9A0" w14:textId="77777777" w:rsidR="00753508" w:rsidRPr="007521E1" w:rsidRDefault="00753508" w:rsidP="00753508">
      <w:pPr>
        <w:rPr>
          <w:b/>
          <w:bCs/>
        </w:rPr>
      </w:pPr>
      <w:r w:rsidRPr="002A26B5">
        <w:rPr>
          <w:b/>
          <w:bCs/>
        </w:rPr>
        <w:t xml:space="preserve">Proposal </w:t>
      </w:r>
      <w:r>
        <w:rPr>
          <w:b/>
          <w:bCs/>
        </w:rPr>
        <w:t>8</w:t>
      </w:r>
      <w:r w:rsidRPr="002A26B5">
        <w:rPr>
          <w:b/>
          <w:bCs/>
        </w:rPr>
        <w:t xml:space="preserve">: RAN2 to discuss </w:t>
      </w:r>
      <w:r>
        <w:rPr>
          <w:b/>
          <w:bCs/>
        </w:rPr>
        <w:t>how</w:t>
      </w:r>
      <w:r w:rsidRPr="002A26B5">
        <w:rPr>
          <w:b/>
          <w:bCs/>
        </w:rPr>
        <w:t xml:space="preserve"> to suspend temporarily the use of SDT.</w:t>
      </w:r>
    </w:p>
    <w:p w14:paraId="25924657" w14:textId="77777777" w:rsidR="00753508" w:rsidRDefault="00753508" w:rsidP="00753508">
      <w:pPr>
        <w:rPr>
          <w:b/>
          <w:bCs/>
        </w:rPr>
      </w:pPr>
      <w:r w:rsidRPr="00A321EE">
        <w:rPr>
          <w:b/>
          <w:bCs/>
        </w:rPr>
        <w:t xml:space="preserve">Proposal </w:t>
      </w:r>
      <w:r>
        <w:rPr>
          <w:b/>
          <w:bCs/>
        </w:rPr>
        <w:t>9</w:t>
      </w:r>
      <w:r w:rsidRPr="00A321EE">
        <w:rPr>
          <w:b/>
          <w:bCs/>
        </w:rPr>
        <w:t>: Support configuring of SRB1 and SRB2 for small data transmission for carrying RRC and NAS messages</w:t>
      </w:r>
    </w:p>
    <w:p w14:paraId="77A14467" w14:textId="77777777" w:rsidR="00753508" w:rsidRPr="00A321EE" w:rsidRDefault="00753508" w:rsidP="00753508">
      <w:pPr>
        <w:rPr>
          <w:b/>
          <w:bCs/>
        </w:rPr>
      </w:pPr>
      <w:r>
        <w:rPr>
          <w:b/>
          <w:bCs/>
        </w:rPr>
        <w:t xml:space="preserve">Proposal 10: </w:t>
      </w:r>
      <w:r w:rsidRPr="00A321EE">
        <w:rPr>
          <w:b/>
          <w:bCs/>
        </w:rPr>
        <w:t>Upon initiating RRC Resume procedure for SDT initiation (i.e. for first SDT transmission), the UE shall also resume SRB2</w:t>
      </w:r>
      <w:r>
        <w:rPr>
          <w:b/>
          <w:bCs/>
        </w:rPr>
        <w:t>,</w:t>
      </w:r>
      <w:r w:rsidRPr="00A321EE">
        <w:rPr>
          <w:b/>
          <w:bCs/>
        </w:rPr>
        <w:t xml:space="preserve"> </w:t>
      </w:r>
      <w:r>
        <w:rPr>
          <w:b/>
          <w:bCs/>
        </w:rPr>
        <w:t>if</w:t>
      </w:r>
      <w:r w:rsidRPr="00A321EE">
        <w:rPr>
          <w:b/>
          <w:bCs/>
        </w:rPr>
        <w:t xml:space="preserve"> configured for SDT, in addition to SDT DRBs that are configured for SDT</w:t>
      </w:r>
    </w:p>
    <w:p w14:paraId="6F0C5F8B" w14:textId="77777777" w:rsidR="00753508" w:rsidRPr="00692BAB" w:rsidRDefault="00753508" w:rsidP="00753508">
      <w:pPr>
        <w:rPr>
          <w:b/>
          <w:bCs/>
        </w:rPr>
      </w:pPr>
      <w:r w:rsidRPr="00692BAB">
        <w:rPr>
          <w:b/>
          <w:bCs/>
        </w:rPr>
        <w:t xml:space="preserve">Proposal </w:t>
      </w:r>
      <w:r>
        <w:rPr>
          <w:b/>
          <w:bCs/>
        </w:rPr>
        <w:t>11</w:t>
      </w:r>
      <w:r w:rsidRPr="00692BAB">
        <w:rPr>
          <w:b/>
          <w:bCs/>
        </w:rPr>
        <w:t xml:space="preserve">: Small data transmission </w:t>
      </w:r>
      <w:r>
        <w:rPr>
          <w:b/>
          <w:bCs/>
        </w:rPr>
        <w:t xml:space="preserve">can be further </w:t>
      </w:r>
      <w:r w:rsidRPr="00692BAB">
        <w:rPr>
          <w:b/>
          <w:bCs/>
        </w:rPr>
        <w:t>configured by the network on a per QoS flow ID (QFI) basis</w:t>
      </w:r>
      <w:r>
        <w:rPr>
          <w:b/>
          <w:bCs/>
        </w:rPr>
        <w:t>.</w:t>
      </w:r>
    </w:p>
    <w:p w14:paraId="6319C6F8" w14:textId="77777777" w:rsidR="00753508" w:rsidRPr="00A254A3" w:rsidRDefault="00753508" w:rsidP="00753508">
      <w:pPr>
        <w:rPr>
          <w:b/>
          <w:bCs/>
        </w:rPr>
      </w:pPr>
      <w:r w:rsidRPr="00A254A3">
        <w:rPr>
          <w:b/>
          <w:bCs/>
        </w:rPr>
        <w:t>Proposal 1</w:t>
      </w:r>
      <w:r>
        <w:rPr>
          <w:b/>
          <w:bCs/>
        </w:rPr>
        <w:t>2</w:t>
      </w:r>
      <w:r w:rsidRPr="00A254A3">
        <w:rPr>
          <w:b/>
          <w:bCs/>
        </w:rPr>
        <w:t>: “Not at cell edge” threshold specified for</w:t>
      </w:r>
      <w:r>
        <w:rPr>
          <w:b/>
          <w:bCs/>
        </w:rPr>
        <w:t xml:space="preserve"> REL16</w:t>
      </w:r>
      <w:r w:rsidRPr="00A254A3">
        <w:rPr>
          <w:b/>
          <w:bCs/>
        </w:rPr>
        <w:t xml:space="preserve"> UE power saving is re-used for SDT purpose i.e. the UE is not allowed to use SDT at cell edge</w:t>
      </w:r>
    </w:p>
    <w:p w14:paraId="75FBE1F3" w14:textId="6526F64F" w:rsidR="002A26B5" w:rsidRDefault="002A26B5" w:rsidP="00A209D6"/>
    <w:sectPr w:rsidR="002A26B5">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3AADBB" w14:textId="77777777" w:rsidR="00FE1B4B" w:rsidRDefault="00FE1B4B">
      <w:r>
        <w:separator/>
      </w:r>
    </w:p>
  </w:endnote>
  <w:endnote w:type="continuationSeparator" w:id="0">
    <w:p w14:paraId="3A766B55" w14:textId="77777777" w:rsidR="00FE1B4B" w:rsidRDefault="00FE1B4B">
      <w:r>
        <w:continuationSeparator/>
      </w:r>
    </w:p>
  </w:endnote>
  <w:endnote w:type="continuationNotice" w:id="1">
    <w:p w14:paraId="67B9B0A3" w14:textId="77777777" w:rsidR="00FE1B4B" w:rsidRDefault="00FE1B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D96D61" w:rsidRDefault="00D96D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D96D61" w:rsidRDefault="00D96D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D96D61" w:rsidRDefault="00D96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118781" w14:textId="77777777" w:rsidR="00FE1B4B" w:rsidRDefault="00FE1B4B">
      <w:r>
        <w:separator/>
      </w:r>
    </w:p>
  </w:footnote>
  <w:footnote w:type="continuationSeparator" w:id="0">
    <w:p w14:paraId="309925E2" w14:textId="77777777" w:rsidR="00FE1B4B" w:rsidRDefault="00FE1B4B">
      <w:r>
        <w:continuationSeparator/>
      </w:r>
    </w:p>
  </w:footnote>
  <w:footnote w:type="continuationNotice" w:id="1">
    <w:p w14:paraId="3CDCE2FE" w14:textId="77777777" w:rsidR="00FE1B4B" w:rsidRDefault="00FE1B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D96D61" w:rsidRDefault="00D96D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D96D61" w:rsidRDefault="00D96D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D96D61" w:rsidRDefault="00D96D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13142B"/>
    <w:multiLevelType w:val="hybridMultilevel"/>
    <w:tmpl w:val="DA8478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8A3692"/>
    <w:multiLevelType w:val="hybridMultilevel"/>
    <w:tmpl w:val="77FA4BEE"/>
    <w:lvl w:ilvl="0" w:tplc="D14851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5A2127A"/>
    <w:multiLevelType w:val="hybridMultilevel"/>
    <w:tmpl w:val="EA6E2492"/>
    <w:lvl w:ilvl="0" w:tplc="5DA4D924">
      <w:start w:val="1"/>
      <w:numFmt w:val="bullet"/>
      <w:lvlText w:val="•"/>
      <w:lvlJc w:val="left"/>
      <w:pPr>
        <w:tabs>
          <w:tab w:val="num" w:pos="720"/>
        </w:tabs>
        <w:ind w:left="720" w:hanging="360"/>
      </w:pPr>
      <w:rPr>
        <w:rFonts w:ascii="Arial" w:hAnsi="Arial" w:hint="default"/>
      </w:rPr>
    </w:lvl>
    <w:lvl w:ilvl="1" w:tplc="CBC60E66" w:tentative="1">
      <w:start w:val="1"/>
      <w:numFmt w:val="bullet"/>
      <w:lvlText w:val="•"/>
      <w:lvlJc w:val="left"/>
      <w:pPr>
        <w:tabs>
          <w:tab w:val="num" w:pos="1440"/>
        </w:tabs>
        <w:ind w:left="1440" w:hanging="360"/>
      </w:pPr>
      <w:rPr>
        <w:rFonts w:ascii="Arial" w:hAnsi="Arial" w:hint="default"/>
      </w:rPr>
    </w:lvl>
    <w:lvl w:ilvl="2" w:tplc="AEC2D14E" w:tentative="1">
      <w:start w:val="1"/>
      <w:numFmt w:val="bullet"/>
      <w:lvlText w:val="•"/>
      <w:lvlJc w:val="left"/>
      <w:pPr>
        <w:tabs>
          <w:tab w:val="num" w:pos="2160"/>
        </w:tabs>
        <w:ind w:left="2160" w:hanging="360"/>
      </w:pPr>
      <w:rPr>
        <w:rFonts w:ascii="Arial" w:hAnsi="Arial" w:hint="default"/>
      </w:rPr>
    </w:lvl>
    <w:lvl w:ilvl="3" w:tplc="4998A044" w:tentative="1">
      <w:start w:val="1"/>
      <w:numFmt w:val="bullet"/>
      <w:lvlText w:val="•"/>
      <w:lvlJc w:val="left"/>
      <w:pPr>
        <w:tabs>
          <w:tab w:val="num" w:pos="2880"/>
        </w:tabs>
        <w:ind w:left="2880" w:hanging="360"/>
      </w:pPr>
      <w:rPr>
        <w:rFonts w:ascii="Arial" w:hAnsi="Arial" w:hint="default"/>
      </w:rPr>
    </w:lvl>
    <w:lvl w:ilvl="4" w:tplc="02642D12" w:tentative="1">
      <w:start w:val="1"/>
      <w:numFmt w:val="bullet"/>
      <w:lvlText w:val="•"/>
      <w:lvlJc w:val="left"/>
      <w:pPr>
        <w:tabs>
          <w:tab w:val="num" w:pos="3600"/>
        </w:tabs>
        <w:ind w:left="3600" w:hanging="360"/>
      </w:pPr>
      <w:rPr>
        <w:rFonts w:ascii="Arial" w:hAnsi="Arial" w:hint="default"/>
      </w:rPr>
    </w:lvl>
    <w:lvl w:ilvl="5" w:tplc="8F683048" w:tentative="1">
      <w:start w:val="1"/>
      <w:numFmt w:val="bullet"/>
      <w:lvlText w:val="•"/>
      <w:lvlJc w:val="left"/>
      <w:pPr>
        <w:tabs>
          <w:tab w:val="num" w:pos="4320"/>
        </w:tabs>
        <w:ind w:left="4320" w:hanging="360"/>
      </w:pPr>
      <w:rPr>
        <w:rFonts w:ascii="Arial" w:hAnsi="Arial" w:hint="default"/>
      </w:rPr>
    </w:lvl>
    <w:lvl w:ilvl="6" w:tplc="A3FED8A2" w:tentative="1">
      <w:start w:val="1"/>
      <w:numFmt w:val="bullet"/>
      <w:lvlText w:val="•"/>
      <w:lvlJc w:val="left"/>
      <w:pPr>
        <w:tabs>
          <w:tab w:val="num" w:pos="5040"/>
        </w:tabs>
        <w:ind w:left="5040" w:hanging="360"/>
      </w:pPr>
      <w:rPr>
        <w:rFonts w:ascii="Arial" w:hAnsi="Arial" w:hint="default"/>
      </w:rPr>
    </w:lvl>
    <w:lvl w:ilvl="7" w:tplc="5FE2FF3A" w:tentative="1">
      <w:start w:val="1"/>
      <w:numFmt w:val="bullet"/>
      <w:lvlText w:val="•"/>
      <w:lvlJc w:val="left"/>
      <w:pPr>
        <w:tabs>
          <w:tab w:val="num" w:pos="5760"/>
        </w:tabs>
        <w:ind w:left="5760" w:hanging="360"/>
      </w:pPr>
      <w:rPr>
        <w:rFonts w:ascii="Arial" w:hAnsi="Arial" w:hint="default"/>
      </w:rPr>
    </w:lvl>
    <w:lvl w:ilvl="8" w:tplc="0CA090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93D0585"/>
    <w:multiLevelType w:val="hybridMultilevel"/>
    <w:tmpl w:val="E3EA4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4D4A59DF"/>
    <w:multiLevelType w:val="hybridMultilevel"/>
    <w:tmpl w:val="2E76EF0C"/>
    <w:lvl w:ilvl="0" w:tplc="4F7A8DF8">
      <w:start w:val="1"/>
      <w:numFmt w:val="bullet"/>
      <w:lvlText w:val="•"/>
      <w:lvlJc w:val="left"/>
      <w:pPr>
        <w:tabs>
          <w:tab w:val="num" w:pos="720"/>
        </w:tabs>
        <w:ind w:left="720" w:hanging="360"/>
      </w:pPr>
      <w:rPr>
        <w:rFonts w:ascii="Arial" w:hAnsi="Arial" w:hint="default"/>
      </w:rPr>
    </w:lvl>
    <w:lvl w:ilvl="1" w:tplc="EAA2FCC8">
      <w:start w:val="285"/>
      <w:numFmt w:val="bullet"/>
      <w:lvlText w:val="•"/>
      <w:lvlJc w:val="left"/>
      <w:pPr>
        <w:tabs>
          <w:tab w:val="num" w:pos="1440"/>
        </w:tabs>
        <w:ind w:left="1440" w:hanging="360"/>
      </w:pPr>
      <w:rPr>
        <w:rFonts w:ascii="Arial" w:hAnsi="Arial" w:hint="default"/>
      </w:rPr>
    </w:lvl>
    <w:lvl w:ilvl="2" w:tplc="37F64190" w:tentative="1">
      <w:start w:val="1"/>
      <w:numFmt w:val="bullet"/>
      <w:lvlText w:val="•"/>
      <w:lvlJc w:val="left"/>
      <w:pPr>
        <w:tabs>
          <w:tab w:val="num" w:pos="2160"/>
        </w:tabs>
        <w:ind w:left="2160" w:hanging="360"/>
      </w:pPr>
      <w:rPr>
        <w:rFonts w:ascii="Arial" w:hAnsi="Arial" w:hint="default"/>
      </w:rPr>
    </w:lvl>
    <w:lvl w:ilvl="3" w:tplc="AD70137E" w:tentative="1">
      <w:start w:val="1"/>
      <w:numFmt w:val="bullet"/>
      <w:lvlText w:val="•"/>
      <w:lvlJc w:val="left"/>
      <w:pPr>
        <w:tabs>
          <w:tab w:val="num" w:pos="2880"/>
        </w:tabs>
        <w:ind w:left="2880" w:hanging="360"/>
      </w:pPr>
      <w:rPr>
        <w:rFonts w:ascii="Arial" w:hAnsi="Arial" w:hint="default"/>
      </w:rPr>
    </w:lvl>
    <w:lvl w:ilvl="4" w:tplc="28F83D52" w:tentative="1">
      <w:start w:val="1"/>
      <w:numFmt w:val="bullet"/>
      <w:lvlText w:val="•"/>
      <w:lvlJc w:val="left"/>
      <w:pPr>
        <w:tabs>
          <w:tab w:val="num" w:pos="3600"/>
        </w:tabs>
        <w:ind w:left="3600" w:hanging="360"/>
      </w:pPr>
      <w:rPr>
        <w:rFonts w:ascii="Arial" w:hAnsi="Arial" w:hint="default"/>
      </w:rPr>
    </w:lvl>
    <w:lvl w:ilvl="5" w:tplc="01E4DDD2" w:tentative="1">
      <w:start w:val="1"/>
      <w:numFmt w:val="bullet"/>
      <w:lvlText w:val="•"/>
      <w:lvlJc w:val="left"/>
      <w:pPr>
        <w:tabs>
          <w:tab w:val="num" w:pos="4320"/>
        </w:tabs>
        <w:ind w:left="4320" w:hanging="360"/>
      </w:pPr>
      <w:rPr>
        <w:rFonts w:ascii="Arial" w:hAnsi="Arial" w:hint="default"/>
      </w:rPr>
    </w:lvl>
    <w:lvl w:ilvl="6" w:tplc="55E23FF2" w:tentative="1">
      <w:start w:val="1"/>
      <w:numFmt w:val="bullet"/>
      <w:lvlText w:val="•"/>
      <w:lvlJc w:val="left"/>
      <w:pPr>
        <w:tabs>
          <w:tab w:val="num" w:pos="5040"/>
        </w:tabs>
        <w:ind w:left="5040" w:hanging="360"/>
      </w:pPr>
      <w:rPr>
        <w:rFonts w:ascii="Arial" w:hAnsi="Arial" w:hint="default"/>
      </w:rPr>
    </w:lvl>
    <w:lvl w:ilvl="7" w:tplc="91CE27D2" w:tentative="1">
      <w:start w:val="1"/>
      <w:numFmt w:val="bullet"/>
      <w:lvlText w:val="•"/>
      <w:lvlJc w:val="left"/>
      <w:pPr>
        <w:tabs>
          <w:tab w:val="num" w:pos="5760"/>
        </w:tabs>
        <w:ind w:left="5760" w:hanging="360"/>
      </w:pPr>
      <w:rPr>
        <w:rFonts w:ascii="Arial" w:hAnsi="Arial" w:hint="default"/>
      </w:rPr>
    </w:lvl>
    <w:lvl w:ilvl="8" w:tplc="1E18E3C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E7762D6"/>
    <w:multiLevelType w:val="hybridMultilevel"/>
    <w:tmpl w:val="EA64B10A"/>
    <w:lvl w:ilvl="0" w:tplc="4C7A76C2">
      <w:start w:val="1"/>
      <w:numFmt w:val="bullet"/>
      <w:lvlText w:val="•"/>
      <w:lvlJc w:val="left"/>
      <w:pPr>
        <w:tabs>
          <w:tab w:val="num" w:pos="720"/>
        </w:tabs>
        <w:ind w:left="720" w:hanging="360"/>
      </w:pPr>
      <w:rPr>
        <w:rFonts w:ascii="Arial" w:hAnsi="Arial" w:hint="default"/>
      </w:rPr>
    </w:lvl>
    <w:lvl w:ilvl="1" w:tplc="6900B78A">
      <w:start w:val="1"/>
      <w:numFmt w:val="bullet"/>
      <w:lvlText w:val="•"/>
      <w:lvlJc w:val="left"/>
      <w:pPr>
        <w:tabs>
          <w:tab w:val="num" w:pos="1440"/>
        </w:tabs>
        <w:ind w:left="1440" w:hanging="360"/>
      </w:pPr>
      <w:rPr>
        <w:rFonts w:ascii="Arial" w:hAnsi="Arial" w:hint="default"/>
      </w:rPr>
    </w:lvl>
    <w:lvl w:ilvl="2" w:tplc="A210E996" w:tentative="1">
      <w:start w:val="1"/>
      <w:numFmt w:val="bullet"/>
      <w:lvlText w:val="•"/>
      <w:lvlJc w:val="left"/>
      <w:pPr>
        <w:tabs>
          <w:tab w:val="num" w:pos="2160"/>
        </w:tabs>
        <w:ind w:left="2160" w:hanging="360"/>
      </w:pPr>
      <w:rPr>
        <w:rFonts w:ascii="Arial" w:hAnsi="Arial" w:hint="default"/>
      </w:rPr>
    </w:lvl>
    <w:lvl w:ilvl="3" w:tplc="BCE8AC30" w:tentative="1">
      <w:start w:val="1"/>
      <w:numFmt w:val="bullet"/>
      <w:lvlText w:val="•"/>
      <w:lvlJc w:val="left"/>
      <w:pPr>
        <w:tabs>
          <w:tab w:val="num" w:pos="2880"/>
        </w:tabs>
        <w:ind w:left="2880" w:hanging="360"/>
      </w:pPr>
      <w:rPr>
        <w:rFonts w:ascii="Arial" w:hAnsi="Arial" w:hint="default"/>
      </w:rPr>
    </w:lvl>
    <w:lvl w:ilvl="4" w:tplc="3116A91C" w:tentative="1">
      <w:start w:val="1"/>
      <w:numFmt w:val="bullet"/>
      <w:lvlText w:val="•"/>
      <w:lvlJc w:val="left"/>
      <w:pPr>
        <w:tabs>
          <w:tab w:val="num" w:pos="3600"/>
        </w:tabs>
        <w:ind w:left="3600" w:hanging="360"/>
      </w:pPr>
      <w:rPr>
        <w:rFonts w:ascii="Arial" w:hAnsi="Arial" w:hint="default"/>
      </w:rPr>
    </w:lvl>
    <w:lvl w:ilvl="5" w:tplc="0588AFCA" w:tentative="1">
      <w:start w:val="1"/>
      <w:numFmt w:val="bullet"/>
      <w:lvlText w:val="•"/>
      <w:lvlJc w:val="left"/>
      <w:pPr>
        <w:tabs>
          <w:tab w:val="num" w:pos="4320"/>
        </w:tabs>
        <w:ind w:left="4320" w:hanging="360"/>
      </w:pPr>
      <w:rPr>
        <w:rFonts w:ascii="Arial" w:hAnsi="Arial" w:hint="default"/>
      </w:rPr>
    </w:lvl>
    <w:lvl w:ilvl="6" w:tplc="6DC466EE" w:tentative="1">
      <w:start w:val="1"/>
      <w:numFmt w:val="bullet"/>
      <w:lvlText w:val="•"/>
      <w:lvlJc w:val="left"/>
      <w:pPr>
        <w:tabs>
          <w:tab w:val="num" w:pos="5040"/>
        </w:tabs>
        <w:ind w:left="5040" w:hanging="360"/>
      </w:pPr>
      <w:rPr>
        <w:rFonts w:ascii="Arial" w:hAnsi="Arial" w:hint="default"/>
      </w:rPr>
    </w:lvl>
    <w:lvl w:ilvl="7" w:tplc="4044C466" w:tentative="1">
      <w:start w:val="1"/>
      <w:numFmt w:val="bullet"/>
      <w:lvlText w:val="•"/>
      <w:lvlJc w:val="left"/>
      <w:pPr>
        <w:tabs>
          <w:tab w:val="num" w:pos="5760"/>
        </w:tabs>
        <w:ind w:left="5760" w:hanging="360"/>
      </w:pPr>
      <w:rPr>
        <w:rFonts w:ascii="Arial" w:hAnsi="Arial" w:hint="default"/>
      </w:rPr>
    </w:lvl>
    <w:lvl w:ilvl="8" w:tplc="1222145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85A2BAF"/>
    <w:multiLevelType w:val="hybridMultilevel"/>
    <w:tmpl w:val="026C23CA"/>
    <w:lvl w:ilvl="0" w:tplc="7F44E556">
      <w:start w:val="1"/>
      <w:numFmt w:val="bullet"/>
      <w:lvlText w:val="•"/>
      <w:lvlJc w:val="left"/>
      <w:pPr>
        <w:tabs>
          <w:tab w:val="num" w:pos="720"/>
        </w:tabs>
        <w:ind w:left="720" w:hanging="360"/>
      </w:pPr>
      <w:rPr>
        <w:rFonts w:ascii="Arial" w:hAnsi="Arial" w:hint="default"/>
      </w:rPr>
    </w:lvl>
    <w:lvl w:ilvl="1" w:tplc="D1E00070" w:tentative="1">
      <w:start w:val="1"/>
      <w:numFmt w:val="bullet"/>
      <w:lvlText w:val="•"/>
      <w:lvlJc w:val="left"/>
      <w:pPr>
        <w:tabs>
          <w:tab w:val="num" w:pos="1440"/>
        </w:tabs>
        <w:ind w:left="1440" w:hanging="360"/>
      </w:pPr>
      <w:rPr>
        <w:rFonts w:ascii="Arial" w:hAnsi="Arial" w:hint="default"/>
      </w:rPr>
    </w:lvl>
    <w:lvl w:ilvl="2" w:tplc="48A8B90E" w:tentative="1">
      <w:start w:val="1"/>
      <w:numFmt w:val="bullet"/>
      <w:lvlText w:val="•"/>
      <w:lvlJc w:val="left"/>
      <w:pPr>
        <w:tabs>
          <w:tab w:val="num" w:pos="2160"/>
        </w:tabs>
        <w:ind w:left="2160" w:hanging="360"/>
      </w:pPr>
      <w:rPr>
        <w:rFonts w:ascii="Arial" w:hAnsi="Arial" w:hint="default"/>
      </w:rPr>
    </w:lvl>
    <w:lvl w:ilvl="3" w:tplc="F10CE184" w:tentative="1">
      <w:start w:val="1"/>
      <w:numFmt w:val="bullet"/>
      <w:lvlText w:val="•"/>
      <w:lvlJc w:val="left"/>
      <w:pPr>
        <w:tabs>
          <w:tab w:val="num" w:pos="2880"/>
        </w:tabs>
        <w:ind w:left="2880" w:hanging="360"/>
      </w:pPr>
      <w:rPr>
        <w:rFonts w:ascii="Arial" w:hAnsi="Arial" w:hint="default"/>
      </w:rPr>
    </w:lvl>
    <w:lvl w:ilvl="4" w:tplc="37949344" w:tentative="1">
      <w:start w:val="1"/>
      <w:numFmt w:val="bullet"/>
      <w:lvlText w:val="•"/>
      <w:lvlJc w:val="left"/>
      <w:pPr>
        <w:tabs>
          <w:tab w:val="num" w:pos="3600"/>
        </w:tabs>
        <w:ind w:left="3600" w:hanging="360"/>
      </w:pPr>
      <w:rPr>
        <w:rFonts w:ascii="Arial" w:hAnsi="Arial" w:hint="default"/>
      </w:rPr>
    </w:lvl>
    <w:lvl w:ilvl="5" w:tplc="31260B66" w:tentative="1">
      <w:start w:val="1"/>
      <w:numFmt w:val="bullet"/>
      <w:lvlText w:val="•"/>
      <w:lvlJc w:val="left"/>
      <w:pPr>
        <w:tabs>
          <w:tab w:val="num" w:pos="4320"/>
        </w:tabs>
        <w:ind w:left="4320" w:hanging="360"/>
      </w:pPr>
      <w:rPr>
        <w:rFonts w:ascii="Arial" w:hAnsi="Arial" w:hint="default"/>
      </w:rPr>
    </w:lvl>
    <w:lvl w:ilvl="6" w:tplc="A740C0C8" w:tentative="1">
      <w:start w:val="1"/>
      <w:numFmt w:val="bullet"/>
      <w:lvlText w:val="•"/>
      <w:lvlJc w:val="left"/>
      <w:pPr>
        <w:tabs>
          <w:tab w:val="num" w:pos="5040"/>
        </w:tabs>
        <w:ind w:left="5040" w:hanging="360"/>
      </w:pPr>
      <w:rPr>
        <w:rFonts w:ascii="Arial" w:hAnsi="Arial" w:hint="default"/>
      </w:rPr>
    </w:lvl>
    <w:lvl w:ilvl="7" w:tplc="6B46C144" w:tentative="1">
      <w:start w:val="1"/>
      <w:numFmt w:val="bullet"/>
      <w:lvlText w:val="•"/>
      <w:lvlJc w:val="left"/>
      <w:pPr>
        <w:tabs>
          <w:tab w:val="num" w:pos="5760"/>
        </w:tabs>
        <w:ind w:left="5760" w:hanging="360"/>
      </w:pPr>
      <w:rPr>
        <w:rFonts w:ascii="Arial" w:hAnsi="Arial" w:hint="default"/>
      </w:rPr>
    </w:lvl>
    <w:lvl w:ilvl="8" w:tplc="BF1C47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C4A42A9"/>
    <w:multiLevelType w:val="hybridMultilevel"/>
    <w:tmpl w:val="30FC94D6"/>
    <w:lvl w:ilvl="0" w:tplc="47366388">
      <w:start w:val="1"/>
      <w:numFmt w:val="bullet"/>
      <w:lvlText w:val="•"/>
      <w:lvlJc w:val="left"/>
      <w:pPr>
        <w:tabs>
          <w:tab w:val="num" w:pos="720"/>
        </w:tabs>
        <w:ind w:left="720" w:hanging="360"/>
      </w:pPr>
      <w:rPr>
        <w:rFonts w:ascii="Arial" w:hAnsi="Arial" w:hint="default"/>
      </w:rPr>
    </w:lvl>
    <w:lvl w:ilvl="1" w:tplc="C5780F0C">
      <w:start w:val="1"/>
      <w:numFmt w:val="bullet"/>
      <w:lvlText w:val="•"/>
      <w:lvlJc w:val="left"/>
      <w:pPr>
        <w:tabs>
          <w:tab w:val="num" w:pos="1440"/>
        </w:tabs>
        <w:ind w:left="1440" w:hanging="360"/>
      </w:pPr>
      <w:rPr>
        <w:rFonts w:ascii="Arial" w:hAnsi="Arial" w:hint="default"/>
      </w:rPr>
    </w:lvl>
    <w:lvl w:ilvl="2" w:tplc="B9FA4ECE" w:tentative="1">
      <w:start w:val="1"/>
      <w:numFmt w:val="bullet"/>
      <w:lvlText w:val="•"/>
      <w:lvlJc w:val="left"/>
      <w:pPr>
        <w:tabs>
          <w:tab w:val="num" w:pos="2160"/>
        </w:tabs>
        <w:ind w:left="2160" w:hanging="360"/>
      </w:pPr>
      <w:rPr>
        <w:rFonts w:ascii="Arial" w:hAnsi="Arial" w:hint="default"/>
      </w:rPr>
    </w:lvl>
    <w:lvl w:ilvl="3" w:tplc="82AEDA26" w:tentative="1">
      <w:start w:val="1"/>
      <w:numFmt w:val="bullet"/>
      <w:lvlText w:val="•"/>
      <w:lvlJc w:val="left"/>
      <w:pPr>
        <w:tabs>
          <w:tab w:val="num" w:pos="2880"/>
        </w:tabs>
        <w:ind w:left="2880" w:hanging="360"/>
      </w:pPr>
      <w:rPr>
        <w:rFonts w:ascii="Arial" w:hAnsi="Arial" w:hint="default"/>
      </w:rPr>
    </w:lvl>
    <w:lvl w:ilvl="4" w:tplc="789ECB9C" w:tentative="1">
      <w:start w:val="1"/>
      <w:numFmt w:val="bullet"/>
      <w:lvlText w:val="•"/>
      <w:lvlJc w:val="left"/>
      <w:pPr>
        <w:tabs>
          <w:tab w:val="num" w:pos="3600"/>
        </w:tabs>
        <w:ind w:left="3600" w:hanging="360"/>
      </w:pPr>
      <w:rPr>
        <w:rFonts w:ascii="Arial" w:hAnsi="Arial" w:hint="default"/>
      </w:rPr>
    </w:lvl>
    <w:lvl w:ilvl="5" w:tplc="B1741A84" w:tentative="1">
      <w:start w:val="1"/>
      <w:numFmt w:val="bullet"/>
      <w:lvlText w:val="•"/>
      <w:lvlJc w:val="left"/>
      <w:pPr>
        <w:tabs>
          <w:tab w:val="num" w:pos="4320"/>
        </w:tabs>
        <w:ind w:left="4320" w:hanging="360"/>
      </w:pPr>
      <w:rPr>
        <w:rFonts w:ascii="Arial" w:hAnsi="Arial" w:hint="default"/>
      </w:rPr>
    </w:lvl>
    <w:lvl w:ilvl="6" w:tplc="BB903452" w:tentative="1">
      <w:start w:val="1"/>
      <w:numFmt w:val="bullet"/>
      <w:lvlText w:val="•"/>
      <w:lvlJc w:val="left"/>
      <w:pPr>
        <w:tabs>
          <w:tab w:val="num" w:pos="5040"/>
        </w:tabs>
        <w:ind w:left="5040" w:hanging="360"/>
      </w:pPr>
      <w:rPr>
        <w:rFonts w:ascii="Arial" w:hAnsi="Arial" w:hint="default"/>
      </w:rPr>
    </w:lvl>
    <w:lvl w:ilvl="7" w:tplc="AEEE8EBA" w:tentative="1">
      <w:start w:val="1"/>
      <w:numFmt w:val="bullet"/>
      <w:lvlText w:val="•"/>
      <w:lvlJc w:val="left"/>
      <w:pPr>
        <w:tabs>
          <w:tab w:val="num" w:pos="5760"/>
        </w:tabs>
        <w:ind w:left="5760" w:hanging="360"/>
      </w:pPr>
      <w:rPr>
        <w:rFonts w:ascii="Arial" w:hAnsi="Arial" w:hint="default"/>
      </w:rPr>
    </w:lvl>
    <w:lvl w:ilvl="8" w:tplc="13365B0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14151D9"/>
    <w:multiLevelType w:val="hybridMultilevel"/>
    <w:tmpl w:val="73D07964"/>
    <w:lvl w:ilvl="0" w:tplc="7236F89C">
      <w:start w:val="1"/>
      <w:numFmt w:val="bullet"/>
      <w:lvlText w:val="•"/>
      <w:lvlJc w:val="left"/>
      <w:pPr>
        <w:tabs>
          <w:tab w:val="num" w:pos="720"/>
        </w:tabs>
        <w:ind w:left="720" w:hanging="360"/>
      </w:pPr>
      <w:rPr>
        <w:rFonts w:ascii="Arial" w:hAnsi="Arial" w:hint="default"/>
      </w:rPr>
    </w:lvl>
    <w:lvl w:ilvl="1" w:tplc="2F56776A">
      <w:start w:val="1"/>
      <w:numFmt w:val="bullet"/>
      <w:lvlText w:val="•"/>
      <w:lvlJc w:val="left"/>
      <w:pPr>
        <w:tabs>
          <w:tab w:val="num" w:pos="1440"/>
        </w:tabs>
        <w:ind w:left="1440" w:hanging="360"/>
      </w:pPr>
      <w:rPr>
        <w:rFonts w:ascii="Arial" w:hAnsi="Arial" w:hint="default"/>
      </w:rPr>
    </w:lvl>
    <w:lvl w:ilvl="2" w:tplc="C27EE0D8" w:tentative="1">
      <w:start w:val="1"/>
      <w:numFmt w:val="bullet"/>
      <w:lvlText w:val="•"/>
      <w:lvlJc w:val="left"/>
      <w:pPr>
        <w:tabs>
          <w:tab w:val="num" w:pos="2160"/>
        </w:tabs>
        <w:ind w:left="2160" w:hanging="360"/>
      </w:pPr>
      <w:rPr>
        <w:rFonts w:ascii="Arial" w:hAnsi="Arial" w:hint="default"/>
      </w:rPr>
    </w:lvl>
    <w:lvl w:ilvl="3" w:tplc="60BA2156" w:tentative="1">
      <w:start w:val="1"/>
      <w:numFmt w:val="bullet"/>
      <w:lvlText w:val="•"/>
      <w:lvlJc w:val="left"/>
      <w:pPr>
        <w:tabs>
          <w:tab w:val="num" w:pos="2880"/>
        </w:tabs>
        <w:ind w:left="2880" w:hanging="360"/>
      </w:pPr>
      <w:rPr>
        <w:rFonts w:ascii="Arial" w:hAnsi="Arial" w:hint="default"/>
      </w:rPr>
    </w:lvl>
    <w:lvl w:ilvl="4" w:tplc="2F62427C" w:tentative="1">
      <w:start w:val="1"/>
      <w:numFmt w:val="bullet"/>
      <w:lvlText w:val="•"/>
      <w:lvlJc w:val="left"/>
      <w:pPr>
        <w:tabs>
          <w:tab w:val="num" w:pos="3600"/>
        </w:tabs>
        <w:ind w:left="3600" w:hanging="360"/>
      </w:pPr>
      <w:rPr>
        <w:rFonts w:ascii="Arial" w:hAnsi="Arial" w:hint="default"/>
      </w:rPr>
    </w:lvl>
    <w:lvl w:ilvl="5" w:tplc="D954F6B2" w:tentative="1">
      <w:start w:val="1"/>
      <w:numFmt w:val="bullet"/>
      <w:lvlText w:val="•"/>
      <w:lvlJc w:val="left"/>
      <w:pPr>
        <w:tabs>
          <w:tab w:val="num" w:pos="4320"/>
        </w:tabs>
        <w:ind w:left="4320" w:hanging="360"/>
      </w:pPr>
      <w:rPr>
        <w:rFonts w:ascii="Arial" w:hAnsi="Arial" w:hint="default"/>
      </w:rPr>
    </w:lvl>
    <w:lvl w:ilvl="6" w:tplc="A6A47638" w:tentative="1">
      <w:start w:val="1"/>
      <w:numFmt w:val="bullet"/>
      <w:lvlText w:val="•"/>
      <w:lvlJc w:val="left"/>
      <w:pPr>
        <w:tabs>
          <w:tab w:val="num" w:pos="5040"/>
        </w:tabs>
        <w:ind w:left="5040" w:hanging="360"/>
      </w:pPr>
      <w:rPr>
        <w:rFonts w:ascii="Arial" w:hAnsi="Arial" w:hint="default"/>
      </w:rPr>
    </w:lvl>
    <w:lvl w:ilvl="7" w:tplc="C5BA21CC" w:tentative="1">
      <w:start w:val="1"/>
      <w:numFmt w:val="bullet"/>
      <w:lvlText w:val="•"/>
      <w:lvlJc w:val="left"/>
      <w:pPr>
        <w:tabs>
          <w:tab w:val="num" w:pos="5760"/>
        </w:tabs>
        <w:ind w:left="5760" w:hanging="360"/>
      </w:pPr>
      <w:rPr>
        <w:rFonts w:ascii="Arial" w:hAnsi="Arial" w:hint="default"/>
      </w:rPr>
    </w:lvl>
    <w:lvl w:ilvl="8" w:tplc="0BFAB26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73F72A7D"/>
    <w:multiLevelType w:val="hybridMultilevel"/>
    <w:tmpl w:val="58726F04"/>
    <w:lvl w:ilvl="0" w:tplc="881E723E">
      <w:start w:val="1"/>
      <w:numFmt w:val="bullet"/>
      <w:lvlText w:val="•"/>
      <w:lvlJc w:val="left"/>
      <w:pPr>
        <w:tabs>
          <w:tab w:val="num" w:pos="720"/>
        </w:tabs>
        <w:ind w:left="720" w:hanging="360"/>
      </w:pPr>
      <w:rPr>
        <w:rFonts w:ascii="Arial" w:hAnsi="Arial" w:hint="default"/>
      </w:rPr>
    </w:lvl>
    <w:lvl w:ilvl="1" w:tplc="37D07C9E">
      <w:start w:val="285"/>
      <w:numFmt w:val="bullet"/>
      <w:lvlText w:val="•"/>
      <w:lvlJc w:val="left"/>
      <w:pPr>
        <w:tabs>
          <w:tab w:val="num" w:pos="1440"/>
        </w:tabs>
        <w:ind w:left="1440" w:hanging="360"/>
      </w:pPr>
      <w:rPr>
        <w:rFonts w:ascii="Arial" w:hAnsi="Arial" w:hint="default"/>
      </w:rPr>
    </w:lvl>
    <w:lvl w:ilvl="2" w:tplc="40D6DB40">
      <w:start w:val="285"/>
      <w:numFmt w:val="bullet"/>
      <w:lvlText w:val="•"/>
      <w:lvlJc w:val="left"/>
      <w:pPr>
        <w:tabs>
          <w:tab w:val="num" w:pos="2160"/>
        </w:tabs>
        <w:ind w:left="2160" w:hanging="360"/>
      </w:pPr>
      <w:rPr>
        <w:rFonts w:ascii="Arial" w:hAnsi="Arial" w:hint="default"/>
      </w:rPr>
    </w:lvl>
    <w:lvl w:ilvl="3" w:tplc="B484C422" w:tentative="1">
      <w:start w:val="1"/>
      <w:numFmt w:val="bullet"/>
      <w:lvlText w:val="•"/>
      <w:lvlJc w:val="left"/>
      <w:pPr>
        <w:tabs>
          <w:tab w:val="num" w:pos="2880"/>
        </w:tabs>
        <w:ind w:left="2880" w:hanging="360"/>
      </w:pPr>
      <w:rPr>
        <w:rFonts w:ascii="Arial" w:hAnsi="Arial" w:hint="default"/>
      </w:rPr>
    </w:lvl>
    <w:lvl w:ilvl="4" w:tplc="D2F82944" w:tentative="1">
      <w:start w:val="1"/>
      <w:numFmt w:val="bullet"/>
      <w:lvlText w:val="•"/>
      <w:lvlJc w:val="left"/>
      <w:pPr>
        <w:tabs>
          <w:tab w:val="num" w:pos="3600"/>
        </w:tabs>
        <w:ind w:left="3600" w:hanging="360"/>
      </w:pPr>
      <w:rPr>
        <w:rFonts w:ascii="Arial" w:hAnsi="Arial" w:hint="default"/>
      </w:rPr>
    </w:lvl>
    <w:lvl w:ilvl="5" w:tplc="60A4D630" w:tentative="1">
      <w:start w:val="1"/>
      <w:numFmt w:val="bullet"/>
      <w:lvlText w:val="•"/>
      <w:lvlJc w:val="left"/>
      <w:pPr>
        <w:tabs>
          <w:tab w:val="num" w:pos="4320"/>
        </w:tabs>
        <w:ind w:left="4320" w:hanging="360"/>
      </w:pPr>
      <w:rPr>
        <w:rFonts w:ascii="Arial" w:hAnsi="Arial" w:hint="default"/>
      </w:rPr>
    </w:lvl>
    <w:lvl w:ilvl="6" w:tplc="AC549BE0" w:tentative="1">
      <w:start w:val="1"/>
      <w:numFmt w:val="bullet"/>
      <w:lvlText w:val="•"/>
      <w:lvlJc w:val="left"/>
      <w:pPr>
        <w:tabs>
          <w:tab w:val="num" w:pos="5040"/>
        </w:tabs>
        <w:ind w:left="5040" w:hanging="360"/>
      </w:pPr>
      <w:rPr>
        <w:rFonts w:ascii="Arial" w:hAnsi="Arial" w:hint="default"/>
      </w:rPr>
    </w:lvl>
    <w:lvl w:ilvl="7" w:tplc="77C642C6" w:tentative="1">
      <w:start w:val="1"/>
      <w:numFmt w:val="bullet"/>
      <w:lvlText w:val="•"/>
      <w:lvlJc w:val="left"/>
      <w:pPr>
        <w:tabs>
          <w:tab w:val="num" w:pos="5760"/>
        </w:tabs>
        <w:ind w:left="5760" w:hanging="360"/>
      </w:pPr>
      <w:rPr>
        <w:rFonts w:ascii="Arial" w:hAnsi="Arial" w:hint="default"/>
      </w:rPr>
    </w:lvl>
    <w:lvl w:ilvl="8" w:tplc="1CB6D81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7821545"/>
    <w:multiLevelType w:val="hybridMultilevel"/>
    <w:tmpl w:val="456CAEE0"/>
    <w:lvl w:ilvl="0" w:tplc="570CF91C">
      <w:start w:val="1"/>
      <w:numFmt w:val="bullet"/>
      <w:lvlText w:val="•"/>
      <w:lvlJc w:val="left"/>
      <w:pPr>
        <w:tabs>
          <w:tab w:val="num" w:pos="720"/>
        </w:tabs>
        <w:ind w:left="720" w:hanging="360"/>
      </w:pPr>
      <w:rPr>
        <w:rFonts w:ascii="Arial" w:hAnsi="Arial" w:hint="default"/>
      </w:rPr>
    </w:lvl>
    <w:lvl w:ilvl="1" w:tplc="64A81A32">
      <w:start w:val="285"/>
      <w:numFmt w:val="bullet"/>
      <w:lvlText w:val="•"/>
      <w:lvlJc w:val="left"/>
      <w:pPr>
        <w:tabs>
          <w:tab w:val="num" w:pos="1440"/>
        </w:tabs>
        <w:ind w:left="1440" w:hanging="360"/>
      </w:pPr>
      <w:rPr>
        <w:rFonts w:ascii="Arial" w:hAnsi="Arial" w:hint="default"/>
      </w:rPr>
    </w:lvl>
    <w:lvl w:ilvl="2" w:tplc="2ED887E2" w:tentative="1">
      <w:start w:val="1"/>
      <w:numFmt w:val="bullet"/>
      <w:lvlText w:val="•"/>
      <w:lvlJc w:val="left"/>
      <w:pPr>
        <w:tabs>
          <w:tab w:val="num" w:pos="2160"/>
        </w:tabs>
        <w:ind w:left="2160" w:hanging="360"/>
      </w:pPr>
      <w:rPr>
        <w:rFonts w:ascii="Arial" w:hAnsi="Arial" w:hint="default"/>
      </w:rPr>
    </w:lvl>
    <w:lvl w:ilvl="3" w:tplc="561CCDE2" w:tentative="1">
      <w:start w:val="1"/>
      <w:numFmt w:val="bullet"/>
      <w:lvlText w:val="•"/>
      <w:lvlJc w:val="left"/>
      <w:pPr>
        <w:tabs>
          <w:tab w:val="num" w:pos="2880"/>
        </w:tabs>
        <w:ind w:left="2880" w:hanging="360"/>
      </w:pPr>
      <w:rPr>
        <w:rFonts w:ascii="Arial" w:hAnsi="Arial" w:hint="default"/>
      </w:rPr>
    </w:lvl>
    <w:lvl w:ilvl="4" w:tplc="176CD03C" w:tentative="1">
      <w:start w:val="1"/>
      <w:numFmt w:val="bullet"/>
      <w:lvlText w:val="•"/>
      <w:lvlJc w:val="left"/>
      <w:pPr>
        <w:tabs>
          <w:tab w:val="num" w:pos="3600"/>
        </w:tabs>
        <w:ind w:left="3600" w:hanging="360"/>
      </w:pPr>
      <w:rPr>
        <w:rFonts w:ascii="Arial" w:hAnsi="Arial" w:hint="default"/>
      </w:rPr>
    </w:lvl>
    <w:lvl w:ilvl="5" w:tplc="1610C904" w:tentative="1">
      <w:start w:val="1"/>
      <w:numFmt w:val="bullet"/>
      <w:lvlText w:val="•"/>
      <w:lvlJc w:val="left"/>
      <w:pPr>
        <w:tabs>
          <w:tab w:val="num" w:pos="4320"/>
        </w:tabs>
        <w:ind w:left="4320" w:hanging="360"/>
      </w:pPr>
      <w:rPr>
        <w:rFonts w:ascii="Arial" w:hAnsi="Arial" w:hint="default"/>
      </w:rPr>
    </w:lvl>
    <w:lvl w:ilvl="6" w:tplc="2BAA7EFE" w:tentative="1">
      <w:start w:val="1"/>
      <w:numFmt w:val="bullet"/>
      <w:lvlText w:val="•"/>
      <w:lvlJc w:val="left"/>
      <w:pPr>
        <w:tabs>
          <w:tab w:val="num" w:pos="5040"/>
        </w:tabs>
        <w:ind w:left="5040" w:hanging="360"/>
      </w:pPr>
      <w:rPr>
        <w:rFonts w:ascii="Arial" w:hAnsi="Arial" w:hint="default"/>
      </w:rPr>
    </w:lvl>
    <w:lvl w:ilvl="7" w:tplc="70A87302" w:tentative="1">
      <w:start w:val="1"/>
      <w:numFmt w:val="bullet"/>
      <w:lvlText w:val="•"/>
      <w:lvlJc w:val="left"/>
      <w:pPr>
        <w:tabs>
          <w:tab w:val="num" w:pos="5760"/>
        </w:tabs>
        <w:ind w:left="5760" w:hanging="360"/>
      </w:pPr>
      <w:rPr>
        <w:rFonts w:ascii="Arial" w:hAnsi="Arial" w:hint="default"/>
      </w:rPr>
    </w:lvl>
    <w:lvl w:ilvl="8" w:tplc="931AD31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78A35BF"/>
    <w:multiLevelType w:val="hybridMultilevel"/>
    <w:tmpl w:val="5AB4032A"/>
    <w:lvl w:ilvl="0" w:tplc="9F0C15D4">
      <w:start w:val="1"/>
      <w:numFmt w:val="bullet"/>
      <w:lvlText w:val="•"/>
      <w:lvlJc w:val="left"/>
      <w:pPr>
        <w:tabs>
          <w:tab w:val="num" w:pos="720"/>
        </w:tabs>
        <w:ind w:left="720" w:hanging="360"/>
      </w:pPr>
      <w:rPr>
        <w:rFonts w:ascii="Arial" w:hAnsi="Arial" w:hint="default"/>
      </w:rPr>
    </w:lvl>
    <w:lvl w:ilvl="1" w:tplc="A4028D10">
      <w:start w:val="1"/>
      <w:numFmt w:val="bullet"/>
      <w:lvlText w:val="•"/>
      <w:lvlJc w:val="left"/>
      <w:pPr>
        <w:tabs>
          <w:tab w:val="num" w:pos="1440"/>
        </w:tabs>
        <w:ind w:left="1440" w:hanging="360"/>
      </w:pPr>
      <w:rPr>
        <w:rFonts w:ascii="Arial" w:hAnsi="Arial" w:hint="default"/>
      </w:rPr>
    </w:lvl>
    <w:lvl w:ilvl="2" w:tplc="2736C924" w:tentative="1">
      <w:start w:val="1"/>
      <w:numFmt w:val="bullet"/>
      <w:lvlText w:val="•"/>
      <w:lvlJc w:val="left"/>
      <w:pPr>
        <w:tabs>
          <w:tab w:val="num" w:pos="2160"/>
        </w:tabs>
        <w:ind w:left="2160" w:hanging="360"/>
      </w:pPr>
      <w:rPr>
        <w:rFonts w:ascii="Arial" w:hAnsi="Arial" w:hint="default"/>
      </w:rPr>
    </w:lvl>
    <w:lvl w:ilvl="3" w:tplc="0374C12E" w:tentative="1">
      <w:start w:val="1"/>
      <w:numFmt w:val="bullet"/>
      <w:lvlText w:val="•"/>
      <w:lvlJc w:val="left"/>
      <w:pPr>
        <w:tabs>
          <w:tab w:val="num" w:pos="2880"/>
        </w:tabs>
        <w:ind w:left="2880" w:hanging="360"/>
      </w:pPr>
      <w:rPr>
        <w:rFonts w:ascii="Arial" w:hAnsi="Arial" w:hint="default"/>
      </w:rPr>
    </w:lvl>
    <w:lvl w:ilvl="4" w:tplc="79ECE7FC" w:tentative="1">
      <w:start w:val="1"/>
      <w:numFmt w:val="bullet"/>
      <w:lvlText w:val="•"/>
      <w:lvlJc w:val="left"/>
      <w:pPr>
        <w:tabs>
          <w:tab w:val="num" w:pos="3600"/>
        </w:tabs>
        <w:ind w:left="3600" w:hanging="360"/>
      </w:pPr>
      <w:rPr>
        <w:rFonts w:ascii="Arial" w:hAnsi="Arial" w:hint="default"/>
      </w:rPr>
    </w:lvl>
    <w:lvl w:ilvl="5" w:tplc="6FE0640A" w:tentative="1">
      <w:start w:val="1"/>
      <w:numFmt w:val="bullet"/>
      <w:lvlText w:val="•"/>
      <w:lvlJc w:val="left"/>
      <w:pPr>
        <w:tabs>
          <w:tab w:val="num" w:pos="4320"/>
        </w:tabs>
        <w:ind w:left="4320" w:hanging="360"/>
      </w:pPr>
      <w:rPr>
        <w:rFonts w:ascii="Arial" w:hAnsi="Arial" w:hint="default"/>
      </w:rPr>
    </w:lvl>
    <w:lvl w:ilvl="6" w:tplc="2FC4E48C" w:tentative="1">
      <w:start w:val="1"/>
      <w:numFmt w:val="bullet"/>
      <w:lvlText w:val="•"/>
      <w:lvlJc w:val="left"/>
      <w:pPr>
        <w:tabs>
          <w:tab w:val="num" w:pos="5040"/>
        </w:tabs>
        <w:ind w:left="5040" w:hanging="360"/>
      </w:pPr>
      <w:rPr>
        <w:rFonts w:ascii="Arial" w:hAnsi="Arial" w:hint="default"/>
      </w:rPr>
    </w:lvl>
    <w:lvl w:ilvl="7" w:tplc="8A3EFFCE" w:tentative="1">
      <w:start w:val="1"/>
      <w:numFmt w:val="bullet"/>
      <w:lvlText w:val="•"/>
      <w:lvlJc w:val="left"/>
      <w:pPr>
        <w:tabs>
          <w:tab w:val="num" w:pos="5760"/>
        </w:tabs>
        <w:ind w:left="5760" w:hanging="360"/>
      </w:pPr>
      <w:rPr>
        <w:rFonts w:ascii="Arial" w:hAnsi="Arial" w:hint="default"/>
      </w:rPr>
    </w:lvl>
    <w:lvl w:ilvl="8" w:tplc="243A333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89E06BE"/>
    <w:multiLevelType w:val="hybridMultilevel"/>
    <w:tmpl w:val="C33668D0"/>
    <w:lvl w:ilvl="0" w:tplc="90FC7A9E">
      <w:start w:val="1"/>
      <w:numFmt w:val="bullet"/>
      <w:lvlText w:val="•"/>
      <w:lvlJc w:val="left"/>
      <w:pPr>
        <w:tabs>
          <w:tab w:val="num" w:pos="720"/>
        </w:tabs>
        <w:ind w:left="720" w:hanging="360"/>
      </w:pPr>
      <w:rPr>
        <w:rFonts w:ascii="Arial" w:hAnsi="Arial" w:hint="default"/>
      </w:rPr>
    </w:lvl>
    <w:lvl w:ilvl="1" w:tplc="A6826B44">
      <w:start w:val="1"/>
      <w:numFmt w:val="bullet"/>
      <w:lvlText w:val="•"/>
      <w:lvlJc w:val="left"/>
      <w:pPr>
        <w:tabs>
          <w:tab w:val="num" w:pos="1440"/>
        </w:tabs>
        <w:ind w:left="1440" w:hanging="360"/>
      </w:pPr>
      <w:rPr>
        <w:rFonts w:ascii="Arial" w:hAnsi="Arial" w:hint="default"/>
      </w:rPr>
    </w:lvl>
    <w:lvl w:ilvl="2" w:tplc="78A00140" w:tentative="1">
      <w:start w:val="1"/>
      <w:numFmt w:val="bullet"/>
      <w:lvlText w:val="•"/>
      <w:lvlJc w:val="left"/>
      <w:pPr>
        <w:tabs>
          <w:tab w:val="num" w:pos="2160"/>
        </w:tabs>
        <w:ind w:left="2160" w:hanging="360"/>
      </w:pPr>
      <w:rPr>
        <w:rFonts w:ascii="Arial" w:hAnsi="Arial" w:hint="default"/>
      </w:rPr>
    </w:lvl>
    <w:lvl w:ilvl="3" w:tplc="4F36568C" w:tentative="1">
      <w:start w:val="1"/>
      <w:numFmt w:val="bullet"/>
      <w:lvlText w:val="•"/>
      <w:lvlJc w:val="left"/>
      <w:pPr>
        <w:tabs>
          <w:tab w:val="num" w:pos="2880"/>
        </w:tabs>
        <w:ind w:left="2880" w:hanging="360"/>
      </w:pPr>
      <w:rPr>
        <w:rFonts w:ascii="Arial" w:hAnsi="Arial" w:hint="default"/>
      </w:rPr>
    </w:lvl>
    <w:lvl w:ilvl="4" w:tplc="B6C66A1C" w:tentative="1">
      <w:start w:val="1"/>
      <w:numFmt w:val="bullet"/>
      <w:lvlText w:val="•"/>
      <w:lvlJc w:val="left"/>
      <w:pPr>
        <w:tabs>
          <w:tab w:val="num" w:pos="3600"/>
        </w:tabs>
        <w:ind w:left="3600" w:hanging="360"/>
      </w:pPr>
      <w:rPr>
        <w:rFonts w:ascii="Arial" w:hAnsi="Arial" w:hint="default"/>
      </w:rPr>
    </w:lvl>
    <w:lvl w:ilvl="5" w:tplc="0C0A2316" w:tentative="1">
      <w:start w:val="1"/>
      <w:numFmt w:val="bullet"/>
      <w:lvlText w:val="•"/>
      <w:lvlJc w:val="left"/>
      <w:pPr>
        <w:tabs>
          <w:tab w:val="num" w:pos="4320"/>
        </w:tabs>
        <w:ind w:left="4320" w:hanging="360"/>
      </w:pPr>
      <w:rPr>
        <w:rFonts w:ascii="Arial" w:hAnsi="Arial" w:hint="default"/>
      </w:rPr>
    </w:lvl>
    <w:lvl w:ilvl="6" w:tplc="79F8B29E" w:tentative="1">
      <w:start w:val="1"/>
      <w:numFmt w:val="bullet"/>
      <w:lvlText w:val="•"/>
      <w:lvlJc w:val="left"/>
      <w:pPr>
        <w:tabs>
          <w:tab w:val="num" w:pos="5040"/>
        </w:tabs>
        <w:ind w:left="5040" w:hanging="360"/>
      </w:pPr>
      <w:rPr>
        <w:rFonts w:ascii="Arial" w:hAnsi="Arial" w:hint="default"/>
      </w:rPr>
    </w:lvl>
    <w:lvl w:ilvl="7" w:tplc="D7FEE67A" w:tentative="1">
      <w:start w:val="1"/>
      <w:numFmt w:val="bullet"/>
      <w:lvlText w:val="•"/>
      <w:lvlJc w:val="left"/>
      <w:pPr>
        <w:tabs>
          <w:tab w:val="num" w:pos="5760"/>
        </w:tabs>
        <w:ind w:left="5760" w:hanging="360"/>
      </w:pPr>
      <w:rPr>
        <w:rFonts w:ascii="Arial" w:hAnsi="Arial" w:hint="default"/>
      </w:rPr>
    </w:lvl>
    <w:lvl w:ilvl="8" w:tplc="62FA8AB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10"/>
  </w:num>
  <w:num w:numId="7">
    <w:abstractNumId w:val="11"/>
  </w:num>
  <w:num w:numId="8">
    <w:abstractNumId w:val="5"/>
  </w:num>
  <w:num w:numId="9">
    <w:abstractNumId w:val="16"/>
  </w:num>
  <w:num w:numId="10">
    <w:abstractNumId w:val="18"/>
  </w:num>
  <w:num w:numId="11">
    <w:abstractNumId w:val="8"/>
  </w:num>
  <w:num w:numId="12">
    <w:abstractNumId w:val="17"/>
  </w:num>
  <w:num w:numId="13">
    <w:abstractNumId w:val="14"/>
  </w:num>
  <w:num w:numId="14">
    <w:abstractNumId w:val="13"/>
  </w:num>
  <w:num w:numId="15">
    <w:abstractNumId w:val="21"/>
  </w:num>
  <w:num w:numId="16">
    <w:abstractNumId w:val="20"/>
  </w:num>
  <w:num w:numId="17">
    <w:abstractNumId w:val="15"/>
  </w:num>
  <w:num w:numId="18">
    <w:abstractNumId w:val="12"/>
  </w:num>
  <w:num w:numId="19">
    <w:abstractNumId w:val="19"/>
  </w:num>
  <w:num w:numId="20">
    <w:abstractNumId w:val="2"/>
  </w:num>
  <w:num w:numId="21">
    <w:abstractNumId w:val="22"/>
  </w:num>
  <w:num w:numId="22">
    <w:abstractNumId w:val="4"/>
  </w:num>
  <w:num w:numId="23">
    <w:abstractNumId w:val="23"/>
  </w:num>
  <w:num w:numId="24">
    <w:abstractNumId w:val="9"/>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632"/>
    <w:rsid w:val="00010973"/>
    <w:rsid w:val="00016557"/>
    <w:rsid w:val="00020E36"/>
    <w:rsid w:val="00023C40"/>
    <w:rsid w:val="0003154B"/>
    <w:rsid w:val="00033397"/>
    <w:rsid w:val="00040095"/>
    <w:rsid w:val="000618E7"/>
    <w:rsid w:val="00067DC6"/>
    <w:rsid w:val="00073C9C"/>
    <w:rsid w:val="000777C5"/>
    <w:rsid w:val="00080512"/>
    <w:rsid w:val="00082F56"/>
    <w:rsid w:val="00086A03"/>
    <w:rsid w:val="00090468"/>
    <w:rsid w:val="00094568"/>
    <w:rsid w:val="000976B8"/>
    <w:rsid w:val="000B7BCF"/>
    <w:rsid w:val="000C522B"/>
    <w:rsid w:val="000C675F"/>
    <w:rsid w:val="000D58AB"/>
    <w:rsid w:val="000D7CE7"/>
    <w:rsid w:val="000F35A9"/>
    <w:rsid w:val="000F5DDD"/>
    <w:rsid w:val="000F7849"/>
    <w:rsid w:val="00112F1A"/>
    <w:rsid w:val="00127760"/>
    <w:rsid w:val="001278A3"/>
    <w:rsid w:val="00143192"/>
    <w:rsid w:val="00145075"/>
    <w:rsid w:val="00147094"/>
    <w:rsid w:val="00155333"/>
    <w:rsid w:val="00155851"/>
    <w:rsid w:val="00157A23"/>
    <w:rsid w:val="00161304"/>
    <w:rsid w:val="00164048"/>
    <w:rsid w:val="001741A0"/>
    <w:rsid w:val="00175FA0"/>
    <w:rsid w:val="00185EDF"/>
    <w:rsid w:val="0019295A"/>
    <w:rsid w:val="00194CD0"/>
    <w:rsid w:val="001A4B5F"/>
    <w:rsid w:val="001B163F"/>
    <w:rsid w:val="001B49C9"/>
    <w:rsid w:val="001B721C"/>
    <w:rsid w:val="001C1600"/>
    <w:rsid w:val="001C23F4"/>
    <w:rsid w:val="001C3EB7"/>
    <w:rsid w:val="001C4F79"/>
    <w:rsid w:val="001F1353"/>
    <w:rsid w:val="001F168B"/>
    <w:rsid w:val="001F7831"/>
    <w:rsid w:val="002010E9"/>
    <w:rsid w:val="00204045"/>
    <w:rsid w:val="0020712B"/>
    <w:rsid w:val="00213204"/>
    <w:rsid w:val="002243AA"/>
    <w:rsid w:val="00224634"/>
    <w:rsid w:val="0022606D"/>
    <w:rsid w:val="00231697"/>
    <w:rsid w:val="00231728"/>
    <w:rsid w:val="00244A05"/>
    <w:rsid w:val="00246414"/>
    <w:rsid w:val="00250404"/>
    <w:rsid w:val="002610D8"/>
    <w:rsid w:val="00262686"/>
    <w:rsid w:val="00266A43"/>
    <w:rsid w:val="00273E46"/>
    <w:rsid w:val="002747EC"/>
    <w:rsid w:val="002855BF"/>
    <w:rsid w:val="00291E4A"/>
    <w:rsid w:val="002A26B5"/>
    <w:rsid w:val="002B7DA3"/>
    <w:rsid w:val="002D0459"/>
    <w:rsid w:val="002D0877"/>
    <w:rsid w:val="002D45AC"/>
    <w:rsid w:val="002D6B50"/>
    <w:rsid w:val="002D7ABD"/>
    <w:rsid w:val="002F0B36"/>
    <w:rsid w:val="002F0D22"/>
    <w:rsid w:val="00302FD7"/>
    <w:rsid w:val="00307BCA"/>
    <w:rsid w:val="00311B17"/>
    <w:rsid w:val="003154E8"/>
    <w:rsid w:val="003172DC"/>
    <w:rsid w:val="00324E1A"/>
    <w:rsid w:val="00325AE3"/>
    <w:rsid w:val="00326069"/>
    <w:rsid w:val="003275F6"/>
    <w:rsid w:val="00331B17"/>
    <w:rsid w:val="00334D0D"/>
    <w:rsid w:val="00342CB6"/>
    <w:rsid w:val="0035462D"/>
    <w:rsid w:val="0036459E"/>
    <w:rsid w:val="00364B41"/>
    <w:rsid w:val="0036735B"/>
    <w:rsid w:val="003824E8"/>
    <w:rsid w:val="00383096"/>
    <w:rsid w:val="00383292"/>
    <w:rsid w:val="00386AA4"/>
    <w:rsid w:val="0039346C"/>
    <w:rsid w:val="00394D38"/>
    <w:rsid w:val="003A300B"/>
    <w:rsid w:val="003A3997"/>
    <w:rsid w:val="003A41EF"/>
    <w:rsid w:val="003A6AC4"/>
    <w:rsid w:val="003B40AD"/>
    <w:rsid w:val="003B4D1E"/>
    <w:rsid w:val="003C4E37"/>
    <w:rsid w:val="003E16BE"/>
    <w:rsid w:val="003E215D"/>
    <w:rsid w:val="003E7E14"/>
    <w:rsid w:val="003F4E28"/>
    <w:rsid w:val="004006E8"/>
    <w:rsid w:val="00401855"/>
    <w:rsid w:val="00427EBF"/>
    <w:rsid w:val="00451AE1"/>
    <w:rsid w:val="00463E6C"/>
    <w:rsid w:val="00465587"/>
    <w:rsid w:val="00467E39"/>
    <w:rsid w:val="0047146C"/>
    <w:rsid w:val="0047312B"/>
    <w:rsid w:val="0047454D"/>
    <w:rsid w:val="00477455"/>
    <w:rsid w:val="00477E04"/>
    <w:rsid w:val="004915BF"/>
    <w:rsid w:val="0049483D"/>
    <w:rsid w:val="00495689"/>
    <w:rsid w:val="004A1F7B"/>
    <w:rsid w:val="004A424F"/>
    <w:rsid w:val="004A4D81"/>
    <w:rsid w:val="004B189F"/>
    <w:rsid w:val="004C2F77"/>
    <w:rsid w:val="004C44D2"/>
    <w:rsid w:val="004D0E9D"/>
    <w:rsid w:val="004D3578"/>
    <w:rsid w:val="004D380D"/>
    <w:rsid w:val="004D491F"/>
    <w:rsid w:val="004D5602"/>
    <w:rsid w:val="004E213A"/>
    <w:rsid w:val="004E2765"/>
    <w:rsid w:val="004E4B93"/>
    <w:rsid w:val="004F0102"/>
    <w:rsid w:val="004F6E53"/>
    <w:rsid w:val="00503171"/>
    <w:rsid w:val="00504103"/>
    <w:rsid w:val="00504839"/>
    <w:rsid w:val="00506C28"/>
    <w:rsid w:val="00507A2A"/>
    <w:rsid w:val="0052453E"/>
    <w:rsid w:val="005347B0"/>
    <w:rsid w:val="00534DA0"/>
    <w:rsid w:val="00534FF6"/>
    <w:rsid w:val="00536EE0"/>
    <w:rsid w:val="00543E6C"/>
    <w:rsid w:val="00545E0E"/>
    <w:rsid w:val="00563B95"/>
    <w:rsid w:val="00564852"/>
    <w:rsid w:val="00565087"/>
    <w:rsid w:val="0056573F"/>
    <w:rsid w:val="005776D3"/>
    <w:rsid w:val="0059222F"/>
    <w:rsid w:val="00596459"/>
    <w:rsid w:val="00597105"/>
    <w:rsid w:val="005A4491"/>
    <w:rsid w:val="005A49C6"/>
    <w:rsid w:val="005B1151"/>
    <w:rsid w:val="005C4453"/>
    <w:rsid w:val="005D1BAD"/>
    <w:rsid w:val="005F6D36"/>
    <w:rsid w:val="0060111F"/>
    <w:rsid w:val="00611566"/>
    <w:rsid w:val="00613189"/>
    <w:rsid w:val="0062612A"/>
    <w:rsid w:val="00646D99"/>
    <w:rsid w:val="006525A9"/>
    <w:rsid w:val="006557BC"/>
    <w:rsid w:val="00656910"/>
    <w:rsid w:val="00656EB8"/>
    <w:rsid w:val="006574C0"/>
    <w:rsid w:val="00664CD0"/>
    <w:rsid w:val="00671E6E"/>
    <w:rsid w:val="00692BAB"/>
    <w:rsid w:val="006B420E"/>
    <w:rsid w:val="006C66D8"/>
    <w:rsid w:val="006D040A"/>
    <w:rsid w:val="006D1E24"/>
    <w:rsid w:val="006D35DE"/>
    <w:rsid w:val="006D676F"/>
    <w:rsid w:val="006E1417"/>
    <w:rsid w:val="006F2556"/>
    <w:rsid w:val="006F6A2C"/>
    <w:rsid w:val="007016EF"/>
    <w:rsid w:val="007069DC"/>
    <w:rsid w:val="00707853"/>
    <w:rsid w:val="00710201"/>
    <w:rsid w:val="00716E0E"/>
    <w:rsid w:val="0072073A"/>
    <w:rsid w:val="00726179"/>
    <w:rsid w:val="007342B5"/>
    <w:rsid w:val="00734A5B"/>
    <w:rsid w:val="00744E76"/>
    <w:rsid w:val="007521E1"/>
    <w:rsid w:val="00753508"/>
    <w:rsid w:val="00757D40"/>
    <w:rsid w:val="007662B5"/>
    <w:rsid w:val="007759D1"/>
    <w:rsid w:val="007779F7"/>
    <w:rsid w:val="0078180F"/>
    <w:rsid w:val="00781F0F"/>
    <w:rsid w:val="00782794"/>
    <w:rsid w:val="0078727C"/>
    <w:rsid w:val="0079049D"/>
    <w:rsid w:val="00793DC5"/>
    <w:rsid w:val="00795F9E"/>
    <w:rsid w:val="007A3624"/>
    <w:rsid w:val="007B18D8"/>
    <w:rsid w:val="007B24D1"/>
    <w:rsid w:val="007C095F"/>
    <w:rsid w:val="007C2DD0"/>
    <w:rsid w:val="007C6973"/>
    <w:rsid w:val="007E03E7"/>
    <w:rsid w:val="007F1BBA"/>
    <w:rsid w:val="007F2E08"/>
    <w:rsid w:val="007F5EED"/>
    <w:rsid w:val="008028A4"/>
    <w:rsid w:val="0081121B"/>
    <w:rsid w:val="00813245"/>
    <w:rsid w:val="00816C52"/>
    <w:rsid w:val="00817965"/>
    <w:rsid w:val="00822BB0"/>
    <w:rsid w:val="00831BF2"/>
    <w:rsid w:val="00834D63"/>
    <w:rsid w:val="00835882"/>
    <w:rsid w:val="00840DE0"/>
    <w:rsid w:val="0085112D"/>
    <w:rsid w:val="00857767"/>
    <w:rsid w:val="00860A59"/>
    <w:rsid w:val="0086354A"/>
    <w:rsid w:val="00866742"/>
    <w:rsid w:val="008768CA"/>
    <w:rsid w:val="00877EF9"/>
    <w:rsid w:val="00880559"/>
    <w:rsid w:val="008873B3"/>
    <w:rsid w:val="008924EC"/>
    <w:rsid w:val="008A5C34"/>
    <w:rsid w:val="008B1C8A"/>
    <w:rsid w:val="008B5306"/>
    <w:rsid w:val="008C2E2A"/>
    <w:rsid w:val="008C3057"/>
    <w:rsid w:val="008C405A"/>
    <w:rsid w:val="008D1B56"/>
    <w:rsid w:val="008D2E4D"/>
    <w:rsid w:val="008D6559"/>
    <w:rsid w:val="008E5623"/>
    <w:rsid w:val="008F266D"/>
    <w:rsid w:val="008F396F"/>
    <w:rsid w:val="008F3DCD"/>
    <w:rsid w:val="0090271F"/>
    <w:rsid w:val="00902DB9"/>
    <w:rsid w:val="0090466A"/>
    <w:rsid w:val="00923655"/>
    <w:rsid w:val="00925013"/>
    <w:rsid w:val="00926BC3"/>
    <w:rsid w:val="00936071"/>
    <w:rsid w:val="009376CD"/>
    <w:rsid w:val="00940212"/>
    <w:rsid w:val="009413F3"/>
    <w:rsid w:val="00942EC2"/>
    <w:rsid w:val="00961B32"/>
    <w:rsid w:val="00962509"/>
    <w:rsid w:val="00963C3A"/>
    <w:rsid w:val="00964B61"/>
    <w:rsid w:val="00965730"/>
    <w:rsid w:val="0096604F"/>
    <w:rsid w:val="00970DB3"/>
    <w:rsid w:val="00974BB0"/>
    <w:rsid w:val="00975BCD"/>
    <w:rsid w:val="00986628"/>
    <w:rsid w:val="009928A9"/>
    <w:rsid w:val="009A0AF3"/>
    <w:rsid w:val="009A19F9"/>
    <w:rsid w:val="009B07CD"/>
    <w:rsid w:val="009B576A"/>
    <w:rsid w:val="009C19E9"/>
    <w:rsid w:val="009D74A6"/>
    <w:rsid w:val="009E0E87"/>
    <w:rsid w:val="009E1C2C"/>
    <w:rsid w:val="009E4627"/>
    <w:rsid w:val="009F4271"/>
    <w:rsid w:val="009F58A6"/>
    <w:rsid w:val="009F692C"/>
    <w:rsid w:val="00A10F02"/>
    <w:rsid w:val="00A1217C"/>
    <w:rsid w:val="00A204CA"/>
    <w:rsid w:val="00A209D6"/>
    <w:rsid w:val="00A22738"/>
    <w:rsid w:val="00A254A3"/>
    <w:rsid w:val="00A321EE"/>
    <w:rsid w:val="00A41A50"/>
    <w:rsid w:val="00A47169"/>
    <w:rsid w:val="00A47469"/>
    <w:rsid w:val="00A53724"/>
    <w:rsid w:val="00A54B2B"/>
    <w:rsid w:val="00A57736"/>
    <w:rsid w:val="00A67626"/>
    <w:rsid w:val="00A77932"/>
    <w:rsid w:val="00A82346"/>
    <w:rsid w:val="00A9671C"/>
    <w:rsid w:val="00AA1553"/>
    <w:rsid w:val="00AA5082"/>
    <w:rsid w:val="00AA6634"/>
    <w:rsid w:val="00AB5633"/>
    <w:rsid w:val="00AC3CE1"/>
    <w:rsid w:val="00AC7E1A"/>
    <w:rsid w:val="00AD1685"/>
    <w:rsid w:val="00AD3289"/>
    <w:rsid w:val="00AD76DD"/>
    <w:rsid w:val="00AE5F0B"/>
    <w:rsid w:val="00AE68DE"/>
    <w:rsid w:val="00AF45FA"/>
    <w:rsid w:val="00AF5190"/>
    <w:rsid w:val="00AF64A6"/>
    <w:rsid w:val="00AF73A2"/>
    <w:rsid w:val="00B018DD"/>
    <w:rsid w:val="00B05380"/>
    <w:rsid w:val="00B05962"/>
    <w:rsid w:val="00B15449"/>
    <w:rsid w:val="00B16C2F"/>
    <w:rsid w:val="00B177A7"/>
    <w:rsid w:val="00B27303"/>
    <w:rsid w:val="00B30211"/>
    <w:rsid w:val="00B35D71"/>
    <w:rsid w:val="00B37EF5"/>
    <w:rsid w:val="00B44DE9"/>
    <w:rsid w:val="00B45955"/>
    <w:rsid w:val="00B47FD1"/>
    <w:rsid w:val="00B516BB"/>
    <w:rsid w:val="00B66D33"/>
    <w:rsid w:val="00B84DB2"/>
    <w:rsid w:val="00B96FD6"/>
    <w:rsid w:val="00BA0D37"/>
    <w:rsid w:val="00BA2974"/>
    <w:rsid w:val="00BA51A5"/>
    <w:rsid w:val="00BC3555"/>
    <w:rsid w:val="00BD54BE"/>
    <w:rsid w:val="00BD5B1D"/>
    <w:rsid w:val="00C102D2"/>
    <w:rsid w:val="00C12B51"/>
    <w:rsid w:val="00C15D3C"/>
    <w:rsid w:val="00C160CE"/>
    <w:rsid w:val="00C24650"/>
    <w:rsid w:val="00C25465"/>
    <w:rsid w:val="00C33079"/>
    <w:rsid w:val="00C33781"/>
    <w:rsid w:val="00C342EF"/>
    <w:rsid w:val="00C4069D"/>
    <w:rsid w:val="00C43225"/>
    <w:rsid w:val="00C6553E"/>
    <w:rsid w:val="00C72204"/>
    <w:rsid w:val="00C83A13"/>
    <w:rsid w:val="00C9068C"/>
    <w:rsid w:val="00C92967"/>
    <w:rsid w:val="00C93E24"/>
    <w:rsid w:val="00CA3D0C"/>
    <w:rsid w:val="00CA654B"/>
    <w:rsid w:val="00CA6C87"/>
    <w:rsid w:val="00CA7943"/>
    <w:rsid w:val="00CB4B83"/>
    <w:rsid w:val="00CB5FC0"/>
    <w:rsid w:val="00CB72B8"/>
    <w:rsid w:val="00CC1C57"/>
    <w:rsid w:val="00CD4C7B"/>
    <w:rsid w:val="00CD58FE"/>
    <w:rsid w:val="00CE12E5"/>
    <w:rsid w:val="00CF426B"/>
    <w:rsid w:val="00D05EB0"/>
    <w:rsid w:val="00D20C23"/>
    <w:rsid w:val="00D21BDC"/>
    <w:rsid w:val="00D33BE3"/>
    <w:rsid w:val="00D3792D"/>
    <w:rsid w:val="00D53742"/>
    <w:rsid w:val="00D55E47"/>
    <w:rsid w:val="00D62E19"/>
    <w:rsid w:val="00D655FC"/>
    <w:rsid w:val="00D67CD1"/>
    <w:rsid w:val="00D70751"/>
    <w:rsid w:val="00D738D6"/>
    <w:rsid w:val="00D80795"/>
    <w:rsid w:val="00D854BE"/>
    <w:rsid w:val="00D87BD6"/>
    <w:rsid w:val="00D87E00"/>
    <w:rsid w:val="00D9134D"/>
    <w:rsid w:val="00D96D11"/>
    <w:rsid w:val="00D96D61"/>
    <w:rsid w:val="00DA7A03"/>
    <w:rsid w:val="00DB0DB8"/>
    <w:rsid w:val="00DB1818"/>
    <w:rsid w:val="00DB33C1"/>
    <w:rsid w:val="00DB421A"/>
    <w:rsid w:val="00DC309B"/>
    <w:rsid w:val="00DC4DA2"/>
    <w:rsid w:val="00DC5261"/>
    <w:rsid w:val="00DC5427"/>
    <w:rsid w:val="00DD3D13"/>
    <w:rsid w:val="00DE25D2"/>
    <w:rsid w:val="00DE5924"/>
    <w:rsid w:val="00DF317F"/>
    <w:rsid w:val="00E0294D"/>
    <w:rsid w:val="00E1352A"/>
    <w:rsid w:val="00E4601C"/>
    <w:rsid w:val="00E46C08"/>
    <w:rsid w:val="00E471CF"/>
    <w:rsid w:val="00E62359"/>
    <w:rsid w:val="00E62835"/>
    <w:rsid w:val="00E66719"/>
    <w:rsid w:val="00E77645"/>
    <w:rsid w:val="00E83697"/>
    <w:rsid w:val="00E85666"/>
    <w:rsid w:val="00E913E4"/>
    <w:rsid w:val="00EA3363"/>
    <w:rsid w:val="00EA66C9"/>
    <w:rsid w:val="00EB3710"/>
    <w:rsid w:val="00EC4290"/>
    <w:rsid w:val="00EC4A25"/>
    <w:rsid w:val="00ED5721"/>
    <w:rsid w:val="00ED5EA1"/>
    <w:rsid w:val="00EF1541"/>
    <w:rsid w:val="00EF612C"/>
    <w:rsid w:val="00EF64B8"/>
    <w:rsid w:val="00EF6BE2"/>
    <w:rsid w:val="00F025A2"/>
    <w:rsid w:val="00F036E9"/>
    <w:rsid w:val="00F03FEA"/>
    <w:rsid w:val="00F07388"/>
    <w:rsid w:val="00F2026E"/>
    <w:rsid w:val="00F2210A"/>
    <w:rsid w:val="00F22EBD"/>
    <w:rsid w:val="00F32573"/>
    <w:rsid w:val="00F34364"/>
    <w:rsid w:val="00F36FFC"/>
    <w:rsid w:val="00F37743"/>
    <w:rsid w:val="00F42E08"/>
    <w:rsid w:val="00F4590C"/>
    <w:rsid w:val="00F54A3D"/>
    <w:rsid w:val="00F54CB0"/>
    <w:rsid w:val="00F579CD"/>
    <w:rsid w:val="00F653B8"/>
    <w:rsid w:val="00F71B89"/>
    <w:rsid w:val="00F72C6C"/>
    <w:rsid w:val="00F7353C"/>
    <w:rsid w:val="00F75B57"/>
    <w:rsid w:val="00F76F8F"/>
    <w:rsid w:val="00F833ED"/>
    <w:rsid w:val="00F93357"/>
    <w:rsid w:val="00F941DF"/>
    <w:rsid w:val="00F97146"/>
    <w:rsid w:val="00FA1266"/>
    <w:rsid w:val="00FA5E4B"/>
    <w:rsid w:val="00FB36FA"/>
    <w:rsid w:val="00FC0A07"/>
    <w:rsid w:val="00FC1192"/>
    <w:rsid w:val="00FC249C"/>
    <w:rsid w:val="00FD1052"/>
    <w:rsid w:val="00FD7268"/>
    <w:rsid w:val="00FE069B"/>
    <w:rsid w:val="00FE1B4B"/>
    <w:rsid w:val="00FE251B"/>
    <w:rsid w:val="1306A35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5A21E49D-EC55-4244-B6B9-997B2C388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qFormat/>
    <w:rsid w:val="000315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03154B"/>
    <w:rPr>
      <w:sz w:val="22"/>
      <w:szCs w:val="22"/>
    </w:rPr>
  </w:style>
  <w:style w:type="paragraph" w:styleId="ListParagraph">
    <w:name w:val="List Paragraph"/>
    <w:basedOn w:val="Normal"/>
    <w:link w:val="ListParagraphChar"/>
    <w:uiPriority w:val="34"/>
    <w:qFormat/>
    <w:rsid w:val="0003154B"/>
    <w:pPr>
      <w:autoSpaceDE w:val="0"/>
      <w:autoSpaceDN w:val="0"/>
      <w:adjustRightInd w:val="0"/>
      <w:snapToGrid w:val="0"/>
      <w:spacing w:after="120"/>
      <w:ind w:firstLineChars="200" w:firstLine="420"/>
      <w:jc w:val="both"/>
    </w:pPr>
    <w:rPr>
      <w:sz w:val="22"/>
      <w:szCs w:val="22"/>
      <w:lang w:eastAsia="en-GB"/>
    </w:rPr>
  </w:style>
  <w:style w:type="character" w:customStyle="1" w:styleId="B1Zchn">
    <w:name w:val="B1 Zchn"/>
    <w:link w:val="B1"/>
    <w:rsid w:val="00307BCA"/>
    <w:rPr>
      <w:lang w:eastAsia="en-US"/>
    </w:rPr>
  </w:style>
  <w:style w:type="character" w:styleId="CommentReference">
    <w:name w:val="annotation reference"/>
    <w:basedOn w:val="DefaultParagraphFont"/>
    <w:rsid w:val="00B96FD6"/>
    <w:rPr>
      <w:sz w:val="16"/>
      <w:szCs w:val="16"/>
    </w:rPr>
  </w:style>
  <w:style w:type="paragraph" w:styleId="CommentText">
    <w:name w:val="annotation text"/>
    <w:basedOn w:val="Normal"/>
    <w:link w:val="CommentTextChar"/>
    <w:rsid w:val="00B96FD6"/>
  </w:style>
  <w:style w:type="character" w:customStyle="1" w:styleId="CommentTextChar">
    <w:name w:val="Comment Text Char"/>
    <w:basedOn w:val="DefaultParagraphFont"/>
    <w:link w:val="CommentText"/>
    <w:rsid w:val="00B96FD6"/>
    <w:rPr>
      <w:lang w:eastAsia="en-US"/>
    </w:rPr>
  </w:style>
  <w:style w:type="paragraph" w:styleId="CommentSubject">
    <w:name w:val="annotation subject"/>
    <w:basedOn w:val="CommentText"/>
    <w:next w:val="CommentText"/>
    <w:link w:val="CommentSubjectChar"/>
    <w:rsid w:val="00B96FD6"/>
    <w:rPr>
      <w:b/>
      <w:bCs/>
    </w:rPr>
  </w:style>
  <w:style w:type="character" w:customStyle="1" w:styleId="CommentSubjectChar">
    <w:name w:val="Comment Subject Char"/>
    <w:basedOn w:val="CommentTextChar"/>
    <w:link w:val="CommentSubject"/>
    <w:rsid w:val="00B96FD6"/>
    <w:rPr>
      <w:b/>
      <w:bCs/>
      <w:lang w:eastAsia="en-US"/>
    </w:rPr>
  </w:style>
  <w:style w:type="paragraph" w:customStyle="1" w:styleId="Comments">
    <w:name w:val="Comments"/>
    <w:basedOn w:val="Normal"/>
    <w:link w:val="CommentsChar"/>
    <w:qFormat/>
    <w:rsid w:val="00394D38"/>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94D38"/>
    <w:rPr>
      <w:rFonts w:ascii="Arial" w:eastAsia="MS Mincho" w:hAnsi="Arial"/>
      <w:i/>
      <w:noProof/>
      <w:sz w:val="18"/>
      <w:szCs w:val="24"/>
    </w:rPr>
  </w:style>
  <w:style w:type="paragraph" w:customStyle="1" w:styleId="Doc-text2">
    <w:name w:val="Doc-text2"/>
    <w:basedOn w:val="Normal"/>
    <w:link w:val="Doc-text2Char"/>
    <w:qFormat/>
    <w:rsid w:val="00020E36"/>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020E36"/>
    <w:rPr>
      <w:rFonts w:ascii="Arial" w:hAnsi="Arial"/>
      <w:lang w:eastAsia="ja-JP"/>
    </w:rPr>
  </w:style>
  <w:style w:type="character" w:customStyle="1" w:styleId="Heading2Char">
    <w:name w:val="Heading 2 Char"/>
    <w:basedOn w:val="DefaultParagraphFont"/>
    <w:link w:val="Heading2"/>
    <w:rsid w:val="002D0877"/>
    <w:rPr>
      <w:rFonts w:ascii="Arial" w:hAnsi="Arial"/>
      <w:sz w:val="32"/>
      <w:lang w:eastAsia="en-US"/>
    </w:rPr>
  </w:style>
  <w:style w:type="character" w:customStyle="1" w:styleId="THChar">
    <w:name w:val="TH Char"/>
    <w:link w:val="TH"/>
    <w:qFormat/>
    <w:rsid w:val="00AC7E1A"/>
    <w:rPr>
      <w:rFonts w:ascii="Arial" w:hAnsi="Arial"/>
      <w:b/>
      <w:lang w:eastAsia="en-US"/>
    </w:rPr>
  </w:style>
  <w:style w:type="character" w:customStyle="1" w:styleId="TFChar">
    <w:name w:val="TF Char"/>
    <w:link w:val="TF"/>
    <w:qFormat/>
    <w:rsid w:val="00AC7E1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396060">
      <w:bodyDiv w:val="1"/>
      <w:marLeft w:val="0"/>
      <w:marRight w:val="0"/>
      <w:marTop w:val="0"/>
      <w:marBottom w:val="0"/>
      <w:divBdr>
        <w:top w:val="none" w:sz="0" w:space="0" w:color="auto"/>
        <w:left w:val="none" w:sz="0" w:space="0" w:color="auto"/>
        <w:bottom w:val="none" w:sz="0" w:space="0" w:color="auto"/>
        <w:right w:val="none" w:sz="0" w:space="0" w:color="auto"/>
      </w:divBdr>
    </w:div>
    <w:div w:id="232090045">
      <w:bodyDiv w:val="1"/>
      <w:marLeft w:val="0"/>
      <w:marRight w:val="0"/>
      <w:marTop w:val="0"/>
      <w:marBottom w:val="0"/>
      <w:divBdr>
        <w:top w:val="none" w:sz="0" w:space="0" w:color="auto"/>
        <w:left w:val="none" w:sz="0" w:space="0" w:color="auto"/>
        <w:bottom w:val="none" w:sz="0" w:space="0" w:color="auto"/>
        <w:right w:val="none" w:sz="0" w:space="0" w:color="auto"/>
      </w:divBdr>
      <w:divsChild>
        <w:div w:id="30156695">
          <w:marLeft w:val="806"/>
          <w:marRight w:val="0"/>
          <w:marTop w:val="0"/>
          <w:marBottom w:val="120"/>
          <w:divBdr>
            <w:top w:val="none" w:sz="0" w:space="0" w:color="auto"/>
            <w:left w:val="none" w:sz="0" w:space="0" w:color="auto"/>
            <w:bottom w:val="none" w:sz="0" w:space="0" w:color="auto"/>
            <w:right w:val="none" w:sz="0" w:space="0" w:color="auto"/>
          </w:divBdr>
        </w:div>
        <w:div w:id="238949277">
          <w:marLeft w:val="806"/>
          <w:marRight w:val="0"/>
          <w:marTop w:val="0"/>
          <w:marBottom w:val="120"/>
          <w:divBdr>
            <w:top w:val="none" w:sz="0" w:space="0" w:color="auto"/>
            <w:left w:val="none" w:sz="0" w:space="0" w:color="auto"/>
            <w:bottom w:val="none" w:sz="0" w:space="0" w:color="auto"/>
            <w:right w:val="none" w:sz="0" w:space="0" w:color="auto"/>
          </w:divBdr>
        </w:div>
        <w:div w:id="539054756">
          <w:marLeft w:val="446"/>
          <w:marRight w:val="0"/>
          <w:marTop w:val="0"/>
          <w:marBottom w:val="120"/>
          <w:divBdr>
            <w:top w:val="none" w:sz="0" w:space="0" w:color="auto"/>
            <w:left w:val="none" w:sz="0" w:space="0" w:color="auto"/>
            <w:bottom w:val="none" w:sz="0" w:space="0" w:color="auto"/>
            <w:right w:val="none" w:sz="0" w:space="0" w:color="auto"/>
          </w:divBdr>
        </w:div>
        <w:div w:id="732193582">
          <w:marLeft w:val="806"/>
          <w:marRight w:val="0"/>
          <w:marTop w:val="0"/>
          <w:marBottom w:val="120"/>
          <w:divBdr>
            <w:top w:val="none" w:sz="0" w:space="0" w:color="auto"/>
            <w:left w:val="none" w:sz="0" w:space="0" w:color="auto"/>
            <w:bottom w:val="none" w:sz="0" w:space="0" w:color="auto"/>
            <w:right w:val="none" w:sz="0" w:space="0" w:color="auto"/>
          </w:divBdr>
        </w:div>
        <w:div w:id="1158575490">
          <w:marLeft w:val="446"/>
          <w:marRight w:val="0"/>
          <w:marTop w:val="0"/>
          <w:marBottom w:val="120"/>
          <w:divBdr>
            <w:top w:val="none" w:sz="0" w:space="0" w:color="auto"/>
            <w:left w:val="none" w:sz="0" w:space="0" w:color="auto"/>
            <w:bottom w:val="none" w:sz="0" w:space="0" w:color="auto"/>
            <w:right w:val="none" w:sz="0" w:space="0" w:color="auto"/>
          </w:divBdr>
        </w:div>
        <w:div w:id="1507594337">
          <w:marLeft w:val="806"/>
          <w:marRight w:val="0"/>
          <w:marTop w:val="0"/>
          <w:marBottom w:val="120"/>
          <w:divBdr>
            <w:top w:val="none" w:sz="0" w:space="0" w:color="auto"/>
            <w:left w:val="none" w:sz="0" w:space="0" w:color="auto"/>
            <w:bottom w:val="none" w:sz="0" w:space="0" w:color="auto"/>
            <w:right w:val="none" w:sz="0" w:space="0" w:color="auto"/>
          </w:divBdr>
        </w:div>
        <w:div w:id="1575507340">
          <w:marLeft w:val="446"/>
          <w:marRight w:val="0"/>
          <w:marTop w:val="0"/>
          <w:marBottom w:val="120"/>
          <w:divBdr>
            <w:top w:val="none" w:sz="0" w:space="0" w:color="auto"/>
            <w:left w:val="none" w:sz="0" w:space="0" w:color="auto"/>
            <w:bottom w:val="none" w:sz="0" w:space="0" w:color="auto"/>
            <w:right w:val="none" w:sz="0" w:space="0" w:color="auto"/>
          </w:divBdr>
        </w:div>
        <w:div w:id="1815903240">
          <w:marLeft w:val="446"/>
          <w:marRight w:val="0"/>
          <w:marTop w:val="0"/>
          <w:marBottom w:val="120"/>
          <w:divBdr>
            <w:top w:val="none" w:sz="0" w:space="0" w:color="auto"/>
            <w:left w:val="none" w:sz="0" w:space="0" w:color="auto"/>
            <w:bottom w:val="none" w:sz="0" w:space="0" w:color="auto"/>
            <w:right w:val="none" w:sz="0" w:space="0" w:color="auto"/>
          </w:divBdr>
        </w:div>
      </w:divsChild>
    </w:div>
    <w:div w:id="287321111">
      <w:bodyDiv w:val="1"/>
      <w:marLeft w:val="0"/>
      <w:marRight w:val="0"/>
      <w:marTop w:val="0"/>
      <w:marBottom w:val="0"/>
      <w:divBdr>
        <w:top w:val="none" w:sz="0" w:space="0" w:color="auto"/>
        <w:left w:val="none" w:sz="0" w:space="0" w:color="auto"/>
        <w:bottom w:val="none" w:sz="0" w:space="0" w:color="auto"/>
        <w:right w:val="none" w:sz="0" w:space="0" w:color="auto"/>
      </w:divBdr>
      <w:divsChild>
        <w:div w:id="1801798044">
          <w:marLeft w:val="634"/>
          <w:marRight w:val="0"/>
          <w:marTop w:val="0"/>
          <w:marBottom w:val="120"/>
          <w:divBdr>
            <w:top w:val="none" w:sz="0" w:space="0" w:color="auto"/>
            <w:left w:val="none" w:sz="0" w:space="0" w:color="auto"/>
            <w:bottom w:val="none" w:sz="0" w:space="0" w:color="auto"/>
            <w:right w:val="none" w:sz="0" w:space="0" w:color="auto"/>
          </w:divBdr>
        </w:div>
      </w:divsChild>
    </w:div>
    <w:div w:id="335961952">
      <w:bodyDiv w:val="1"/>
      <w:marLeft w:val="0"/>
      <w:marRight w:val="0"/>
      <w:marTop w:val="0"/>
      <w:marBottom w:val="0"/>
      <w:divBdr>
        <w:top w:val="none" w:sz="0" w:space="0" w:color="auto"/>
        <w:left w:val="none" w:sz="0" w:space="0" w:color="auto"/>
        <w:bottom w:val="none" w:sz="0" w:space="0" w:color="auto"/>
        <w:right w:val="none" w:sz="0" w:space="0" w:color="auto"/>
      </w:divBdr>
    </w:div>
    <w:div w:id="443304192">
      <w:bodyDiv w:val="1"/>
      <w:marLeft w:val="0"/>
      <w:marRight w:val="0"/>
      <w:marTop w:val="0"/>
      <w:marBottom w:val="0"/>
      <w:divBdr>
        <w:top w:val="none" w:sz="0" w:space="0" w:color="auto"/>
        <w:left w:val="none" w:sz="0" w:space="0" w:color="auto"/>
        <w:bottom w:val="none" w:sz="0" w:space="0" w:color="auto"/>
        <w:right w:val="none" w:sz="0" w:space="0" w:color="auto"/>
      </w:divBdr>
    </w:div>
    <w:div w:id="530800426">
      <w:bodyDiv w:val="1"/>
      <w:marLeft w:val="0"/>
      <w:marRight w:val="0"/>
      <w:marTop w:val="0"/>
      <w:marBottom w:val="0"/>
      <w:divBdr>
        <w:top w:val="none" w:sz="0" w:space="0" w:color="auto"/>
        <w:left w:val="none" w:sz="0" w:space="0" w:color="auto"/>
        <w:bottom w:val="none" w:sz="0" w:space="0" w:color="auto"/>
        <w:right w:val="none" w:sz="0" w:space="0" w:color="auto"/>
      </w:divBdr>
      <w:divsChild>
        <w:div w:id="2085951303">
          <w:marLeft w:val="274"/>
          <w:marRight w:val="0"/>
          <w:marTop w:val="0"/>
          <w:marBottom w:val="120"/>
          <w:divBdr>
            <w:top w:val="none" w:sz="0" w:space="0" w:color="auto"/>
            <w:left w:val="none" w:sz="0" w:space="0" w:color="auto"/>
            <w:bottom w:val="none" w:sz="0" w:space="0" w:color="auto"/>
            <w:right w:val="none" w:sz="0" w:space="0" w:color="auto"/>
          </w:divBdr>
        </w:div>
      </w:divsChild>
    </w:div>
    <w:div w:id="717514998">
      <w:bodyDiv w:val="1"/>
      <w:marLeft w:val="0"/>
      <w:marRight w:val="0"/>
      <w:marTop w:val="0"/>
      <w:marBottom w:val="0"/>
      <w:divBdr>
        <w:top w:val="none" w:sz="0" w:space="0" w:color="auto"/>
        <w:left w:val="none" w:sz="0" w:space="0" w:color="auto"/>
        <w:bottom w:val="none" w:sz="0" w:space="0" w:color="auto"/>
        <w:right w:val="none" w:sz="0" w:space="0" w:color="auto"/>
      </w:divBdr>
    </w:div>
    <w:div w:id="761032037">
      <w:bodyDiv w:val="1"/>
      <w:marLeft w:val="0"/>
      <w:marRight w:val="0"/>
      <w:marTop w:val="0"/>
      <w:marBottom w:val="0"/>
      <w:divBdr>
        <w:top w:val="none" w:sz="0" w:space="0" w:color="auto"/>
        <w:left w:val="none" w:sz="0" w:space="0" w:color="auto"/>
        <w:bottom w:val="none" w:sz="0" w:space="0" w:color="auto"/>
        <w:right w:val="none" w:sz="0" w:space="0" w:color="auto"/>
      </w:divBdr>
      <w:divsChild>
        <w:div w:id="1232501993">
          <w:marLeft w:val="274"/>
          <w:marRight w:val="0"/>
          <w:marTop w:val="0"/>
          <w:marBottom w:val="120"/>
          <w:divBdr>
            <w:top w:val="none" w:sz="0" w:space="0" w:color="auto"/>
            <w:left w:val="none" w:sz="0" w:space="0" w:color="auto"/>
            <w:bottom w:val="none" w:sz="0" w:space="0" w:color="auto"/>
            <w:right w:val="none" w:sz="0" w:space="0" w:color="auto"/>
          </w:divBdr>
        </w:div>
      </w:divsChild>
    </w:div>
    <w:div w:id="858010148">
      <w:bodyDiv w:val="1"/>
      <w:marLeft w:val="0"/>
      <w:marRight w:val="0"/>
      <w:marTop w:val="0"/>
      <w:marBottom w:val="0"/>
      <w:divBdr>
        <w:top w:val="none" w:sz="0" w:space="0" w:color="auto"/>
        <w:left w:val="none" w:sz="0" w:space="0" w:color="auto"/>
        <w:bottom w:val="none" w:sz="0" w:space="0" w:color="auto"/>
        <w:right w:val="none" w:sz="0" w:space="0" w:color="auto"/>
      </w:divBdr>
      <w:divsChild>
        <w:div w:id="113140798">
          <w:marLeft w:val="446"/>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124031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8284665">
      <w:bodyDiv w:val="1"/>
      <w:marLeft w:val="0"/>
      <w:marRight w:val="0"/>
      <w:marTop w:val="0"/>
      <w:marBottom w:val="0"/>
      <w:divBdr>
        <w:top w:val="none" w:sz="0" w:space="0" w:color="auto"/>
        <w:left w:val="none" w:sz="0" w:space="0" w:color="auto"/>
        <w:bottom w:val="none" w:sz="0" w:space="0" w:color="auto"/>
        <w:right w:val="none" w:sz="0" w:space="0" w:color="auto"/>
      </w:divBdr>
    </w:div>
    <w:div w:id="1195188675">
      <w:bodyDiv w:val="1"/>
      <w:marLeft w:val="0"/>
      <w:marRight w:val="0"/>
      <w:marTop w:val="0"/>
      <w:marBottom w:val="0"/>
      <w:divBdr>
        <w:top w:val="none" w:sz="0" w:space="0" w:color="auto"/>
        <w:left w:val="none" w:sz="0" w:space="0" w:color="auto"/>
        <w:bottom w:val="none" w:sz="0" w:space="0" w:color="auto"/>
        <w:right w:val="none" w:sz="0" w:space="0" w:color="auto"/>
      </w:divBdr>
      <w:divsChild>
        <w:div w:id="46537521">
          <w:marLeft w:val="144"/>
          <w:marRight w:val="0"/>
          <w:marTop w:val="0"/>
          <w:marBottom w:val="160"/>
          <w:divBdr>
            <w:top w:val="none" w:sz="0" w:space="0" w:color="auto"/>
            <w:left w:val="none" w:sz="0" w:space="0" w:color="auto"/>
            <w:bottom w:val="none" w:sz="0" w:space="0" w:color="auto"/>
            <w:right w:val="none" w:sz="0" w:space="0" w:color="auto"/>
          </w:divBdr>
        </w:div>
        <w:div w:id="1322123616">
          <w:marLeft w:val="144"/>
          <w:marRight w:val="0"/>
          <w:marTop w:val="0"/>
          <w:marBottom w:val="16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9222725">
      <w:bodyDiv w:val="1"/>
      <w:marLeft w:val="0"/>
      <w:marRight w:val="0"/>
      <w:marTop w:val="0"/>
      <w:marBottom w:val="0"/>
      <w:divBdr>
        <w:top w:val="none" w:sz="0" w:space="0" w:color="auto"/>
        <w:left w:val="none" w:sz="0" w:space="0" w:color="auto"/>
        <w:bottom w:val="none" w:sz="0" w:space="0" w:color="auto"/>
        <w:right w:val="none" w:sz="0" w:space="0" w:color="auto"/>
      </w:divBdr>
      <w:divsChild>
        <w:div w:id="747462153">
          <w:marLeft w:val="446"/>
          <w:marRight w:val="0"/>
          <w:marTop w:val="0"/>
          <w:marBottom w:val="120"/>
          <w:divBdr>
            <w:top w:val="none" w:sz="0" w:space="0" w:color="auto"/>
            <w:left w:val="none" w:sz="0" w:space="0" w:color="auto"/>
            <w:bottom w:val="none" w:sz="0" w:space="0" w:color="auto"/>
            <w:right w:val="none" w:sz="0" w:space="0" w:color="auto"/>
          </w:divBdr>
        </w:div>
        <w:div w:id="853228290">
          <w:marLeft w:val="806"/>
          <w:marRight w:val="0"/>
          <w:marTop w:val="0"/>
          <w:marBottom w:val="120"/>
          <w:divBdr>
            <w:top w:val="none" w:sz="0" w:space="0" w:color="auto"/>
            <w:left w:val="none" w:sz="0" w:space="0" w:color="auto"/>
            <w:bottom w:val="none" w:sz="0" w:space="0" w:color="auto"/>
            <w:right w:val="none" w:sz="0" w:space="0" w:color="auto"/>
          </w:divBdr>
        </w:div>
        <w:div w:id="1017074198">
          <w:marLeft w:val="806"/>
          <w:marRight w:val="0"/>
          <w:marTop w:val="0"/>
          <w:marBottom w:val="120"/>
          <w:divBdr>
            <w:top w:val="none" w:sz="0" w:space="0" w:color="auto"/>
            <w:left w:val="none" w:sz="0" w:space="0" w:color="auto"/>
            <w:bottom w:val="none" w:sz="0" w:space="0" w:color="auto"/>
            <w:right w:val="none" w:sz="0" w:space="0" w:color="auto"/>
          </w:divBdr>
        </w:div>
        <w:div w:id="1696350625">
          <w:marLeft w:val="1181"/>
          <w:marRight w:val="0"/>
          <w:marTop w:val="0"/>
          <w:marBottom w:val="120"/>
          <w:divBdr>
            <w:top w:val="none" w:sz="0" w:space="0" w:color="auto"/>
            <w:left w:val="none" w:sz="0" w:space="0" w:color="auto"/>
            <w:bottom w:val="none" w:sz="0" w:space="0" w:color="auto"/>
            <w:right w:val="none" w:sz="0" w:space="0" w:color="auto"/>
          </w:divBdr>
        </w:div>
        <w:div w:id="1810437930">
          <w:marLeft w:val="446"/>
          <w:marRight w:val="0"/>
          <w:marTop w:val="0"/>
          <w:marBottom w:val="120"/>
          <w:divBdr>
            <w:top w:val="none" w:sz="0" w:space="0" w:color="auto"/>
            <w:left w:val="none" w:sz="0" w:space="0" w:color="auto"/>
            <w:bottom w:val="none" w:sz="0" w:space="0" w:color="auto"/>
            <w:right w:val="none" w:sz="0" w:space="0" w:color="auto"/>
          </w:divBdr>
        </w:div>
        <w:div w:id="1900093330">
          <w:marLeft w:val="806"/>
          <w:marRight w:val="0"/>
          <w:marTop w:val="0"/>
          <w:marBottom w:val="120"/>
          <w:divBdr>
            <w:top w:val="none" w:sz="0" w:space="0" w:color="auto"/>
            <w:left w:val="none" w:sz="0" w:space="0" w:color="auto"/>
            <w:bottom w:val="none" w:sz="0" w:space="0" w:color="auto"/>
            <w:right w:val="none" w:sz="0" w:space="0" w:color="auto"/>
          </w:divBdr>
        </w:div>
      </w:divsChild>
    </w:div>
    <w:div w:id="1310860942">
      <w:bodyDiv w:val="1"/>
      <w:marLeft w:val="0"/>
      <w:marRight w:val="0"/>
      <w:marTop w:val="0"/>
      <w:marBottom w:val="0"/>
      <w:divBdr>
        <w:top w:val="none" w:sz="0" w:space="0" w:color="auto"/>
        <w:left w:val="none" w:sz="0" w:space="0" w:color="auto"/>
        <w:bottom w:val="none" w:sz="0" w:space="0" w:color="auto"/>
        <w:right w:val="none" w:sz="0" w:space="0" w:color="auto"/>
      </w:divBdr>
    </w:div>
    <w:div w:id="1657227666">
      <w:bodyDiv w:val="1"/>
      <w:marLeft w:val="0"/>
      <w:marRight w:val="0"/>
      <w:marTop w:val="0"/>
      <w:marBottom w:val="0"/>
      <w:divBdr>
        <w:top w:val="none" w:sz="0" w:space="0" w:color="auto"/>
        <w:left w:val="none" w:sz="0" w:space="0" w:color="auto"/>
        <w:bottom w:val="none" w:sz="0" w:space="0" w:color="auto"/>
        <w:right w:val="none" w:sz="0" w:space="0" w:color="auto"/>
      </w:divBdr>
      <w:divsChild>
        <w:div w:id="109708451">
          <w:marLeft w:val="706"/>
          <w:marRight w:val="0"/>
          <w:marTop w:val="0"/>
          <w:marBottom w:val="120"/>
          <w:divBdr>
            <w:top w:val="none" w:sz="0" w:space="0" w:color="auto"/>
            <w:left w:val="none" w:sz="0" w:space="0" w:color="auto"/>
            <w:bottom w:val="none" w:sz="0" w:space="0" w:color="auto"/>
            <w:right w:val="none" w:sz="0" w:space="0" w:color="auto"/>
          </w:divBdr>
        </w:div>
        <w:div w:id="1962034423">
          <w:marLeft w:val="706"/>
          <w:marRight w:val="0"/>
          <w:marTop w:val="0"/>
          <w:marBottom w:val="120"/>
          <w:divBdr>
            <w:top w:val="none" w:sz="0" w:space="0" w:color="auto"/>
            <w:left w:val="none" w:sz="0" w:space="0" w:color="auto"/>
            <w:bottom w:val="none" w:sz="0" w:space="0" w:color="auto"/>
            <w:right w:val="none" w:sz="0" w:space="0" w:color="auto"/>
          </w:divBdr>
        </w:div>
      </w:divsChild>
    </w:div>
    <w:div w:id="1692105029">
      <w:bodyDiv w:val="1"/>
      <w:marLeft w:val="0"/>
      <w:marRight w:val="0"/>
      <w:marTop w:val="0"/>
      <w:marBottom w:val="0"/>
      <w:divBdr>
        <w:top w:val="none" w:sz="0" w:space="0" w:color="auto"/>
        <w:left w:val="none" w:sz="0" w:space="0" w:color="auto"/>
        <w:bottom w:val="none" w:sz="0" w:space="0" w:color="auto"/>
        <w:right w:val="none" w:sz="0" w:space="0" w:color="auto"/>
      </w:divBdr>
      <w:divsChild>
        <w:div w:id="438380126">
          <w:marLeft w:val="634"/>
          <w:marRight w:val="0"/>
          <w:marTop w:val="0"/>
          <w:marBottom w:val="120"/>
          <w:divBdr>
            <w:top w:val="none" w:sz="0" w:space="0" w:color="auto"/>
            <w:left w:val="none" w:sz="0" w:space="0" w:color="auto"/>
            <w:bottom w:val="none" w:sz="0" w:space="0" w:color="auto"/>
            <w:right w:val="none" w:sz="0" w:space="0" w:color="auto"/>
          </w:divBdr>
        </w:div>
        <w:div w:id="877664565">
          <w:marLeft w:val="274"/>
          <w:marRight w:val="0"/>
          <w:marTop w:val="0"/>
          <w:marBottom w:val="120"/>
          <w:divBdr>
            <w:top w:val="none" w:sz="0" w:space="0" w:color="auto"/>
            <w:left w:val="none" w:sz="0" w:space="0" w:color="auto"/>
            <w:bottom w:val="none" w:sz="0" w:space="0" w:color="auto"/>
            <w:right w:val="none" w:sz="0" w:space="0" w:color="auto"/>
          </w:divBdr>
        </w:div>
      </w:divsChild>
    </w:div>
    <w:div w:id="1893495839">
      <w:bodyDiv w:val="1"/>
      <w:marLeft w:val="0"/>
      <w:marRight w:val="0"/>
      <w:marTop w:val="0"/>
      <w:marBottom w:val="0"/>
      <w:divBdr>
        <w:top w:val="none" w:sz="0" w:space="0" w:color="auto"/>
        <w:left w:val="none" w:sz="0" w:space="0" w:color="auto"/>
        <w:bottom w:val="none" w:sz="0" w:space="0" w:color="auto"/>
        <w:right w:val="none" w:sz="0" w:space="0" w:color="auto"/>
      </w:divBdr>
      <w:divsChild>
        <w:div w:id="1966695224">
          <w:marLeft w:val="562"/>
          <w:marRight w:val="0"/>
          <w:marTop w:val="0"/>
          <w:marBottom w:val="120"/>
          <w:divBdr>
            <w:top w:val="none" w:sz="0" w:space="0" w:color="auto"/>
            <w:left w:val="none" w:sz="0" w:space="0" w:color="auto"/>
            <w:bottom w:val="none" w:sz="0" w:space="0" w:color="auto"/>
            <w:right w:val="none" w:sz="0" w:space="0" w:color="auto"/>
          </w:divBdr>
        </w:div>
      </w:divsChild>
    </w:div>
    <w:div w:id="1980259223">
      <w:bodyDiv w:val="1"/>
      <w:marLeft w:val="0"/>
      <w:marRight w:val="0"/>
      <w:marTop w:val="0"/>
      <w:marBottom w:val="0"/>
      <w:divBdr>
        <w:top w:val="none" w:sz="0" w:space="0" w:color="auto"/>
        <w:left w:val="none" w:sz="0" w:space="0" w:color="auto"/>
        <w:bottom w:val="none" w:sz="0" w:space="0" w:color="auto"/>
        <w:right w:val="none" w:sz="0" w:space="0" w:color="auto"/>
      </w:divBdr>
      <w:divsChild>
        <w:div w:id="841238583">
          <w:marLeft w:val="56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Meetings_3GPP_SYNC/RAN/Inbox/RP-193252.zip"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hyperlink" Target="https://www.3gpp.org/ftp/Meetings_3GPP_SYNC/RAN/Inbox/RP-193252.zi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f9a7c34c960e8c49812189037bcab469">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92487fa15b2f32c76a7c34bb3528ce6c"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5AIRPNAIUNRU-859666464-7603</_dlc_DocId>
    <_dlc_DocIdUrl xmlns="71c5aaf6-e6ce-465b-b873-5148d2a4c105">
      <Url>https://nokia.sharepoint.com/sites/c5g/e2earch/_layouts/15/DocIdRedir.aspx?ID=5AIRPNAIUNRU-859666464-7603</Url>
      <Description>5AIRPNAIUNRU-859666464-7603</Description>
    </_dlc_DocIdUrl>
  </documentManagement>
</p:properties>
</file>

<file path=customXml/itemProps1.xml><?xml version="1.0" encoding="utf-8"?>
<ds:datastoreItem xmlns:ds="http://schemas.openxmlformats.org/officeDocument/2006/customXml" ds:itemID="{7A3579CE-20F3-4C18-9EAA-A570DD766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554</TotalTime>
  <Pages>8</Pages>
  <Words>3198</Words>
  <Characters>16431</Characters>
  <Application>Microsoft Office Word</Application>
  <DocSecurity>0</DocSecurity>
  <Lines>136</Lines>
  <Paragraphs>39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19590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Jussi-Pekka Koskinen</cp:lastModifiedBy>
  <cp:revision>70</cp:revision>
  <dcterms:created xsi:type="dcterms:W3CDTF">2020-10-22T12:58:00Z</dcterms:created>
  <dcterms:modified xsi:type="dcterms:W3CDTF">2021-05-10T15:17:00Z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b9e60054-5cca-4da2-8081-d4253404abac</vt:lpwstr>
  </property>
</Properties>
</file>